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comments.xml" ContentType="application/vnd.openxmlformats-officedocument.wordprocessingml.comments+xml"/>
  <Override PartName="/word/media/image1.wmf" ContentType="image/x-wmf"/>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76" w:before="0" w:after="288"/>
        <w:jc w:val="center"/>
        <w:rPr/>
      </w:pPr>
      <w:commentRangeStart w:id="0"/>
      <w:r>
        <w:rPr>
          <w:rFonts w:cs="Arial" w:ascii="Arial" w:hAnsi="Arial"/>
          <w:b/>
          <w:bCs/>
          <w:color w:val="000000" w:themeColor="text1"/>
          <w:sz w:val="20"/>
          <w:szCs w:val="20"/>
        </w:rPr>
        <w:t>MODELO DE TERMO DE CONTRATO</w:t>
        <w:br/>
        <w:t>Lei nº 14.133, de 1º de abril de 2021</w:t>
        <w:br/>
        <w:t>SERVIÇOS CONTÍNUOS COM REGIME DE DEDICAÇÃO EXCLUSIVA DE MÃO DE OBRA – LICITAÇÃO</w:t>
      </w:r>
      <w:commentRangeEnd w:id="0"/>
      <w:r>
        <w:commentReference w:id="0"/>
      </w:r>
      <w:r>
        <w:rPr>
          <w:rFonts w:cs="Arial" w:ascii="Arial" w:hAnsi="Arial"/>
          <w:b/>
          <w:bCs/>
          <w:color w:val="000000" w:themeColor="text1"/>
          <w:sz w:val="20"/>
          <w:szCs w:val="20"/>
        </w:rPr>
      </w:r>
    </w:p>
    <w:p>
      <w:pPr>
        <w:pStyle w:val="Normal"/>
        <w:spacing w:lineRule="auto" w:line="276" w:before="120" w:after="288"/>
        <w:ind w:firstLine="709"/>
        <w:jc w:val="center"/>
        <w:rPr>
          <w:rFonts w:ascii="Arial" w:hAnsi="Arial" w:cs="Arial"/>
          <w:b/>
          <w:b/>
          <w:bCs/>
          <w:color w:val="000000" w:themeColor="text1"/>
          <w:sz w:val="20"/>
          <w:szCs w:val="20"/>
        </w:rPr>
      </w:pPr>
      <w:r>
        <w:rPr>
          <w:rFonts w:cs="Arial" w:ascii="Arial" w:hAnsi="Arial"/>
          <w:b/>
          <w:bCs/>
          <w:color w:val="000000" w:themeColor="text1"/>
          <w:sz w:val="20"/>
          <w:szCs w:val="20"/>
        </w:rPr>
        <w:drawing>
          <wp:anchor behindDoc="0" distT="0" distB="0" distL="114300" distR="114300" simplePos="0" locked="0" layoutInCell="1" allowOverlap="1" relativeHeight="2">
            <wp:simplePos x="0" y="0"/>
            <wp:positionH relativeFrom="margin">
              <wp:posOffset>2816860</wp:posOffset>
            </wp:positionH>
            <wp:positionV relativeFrom="paragraph">
              <wp:posOffset>67945</wp:posOffset>
            </wp:positionV>
            <wp:extent cx="737870" cy="806450"/>
            <wp:effectExtent l="0" t="0" r="0" b="0"/>
            <wp:wrapSquare wrapText="bothSides"/>
            <wp:docPr id="1" name="Picture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descr=""/>
                    <pic:cNvPicPr>
                      <a:picLocks noChangeAspect="1" noChangeArrowheads="1"/>
                    </pic:cNvPicPr>
                  </pic:nvPicPr>
                  <pic:blipFill>
                    <a:blip r:embed="rId2"/>
                    <a:stretch>
                      <a:fillRect/>
                    </a:stretch>
                  </pic:blipFill>
                  <pic:spPr bwMode="auto">
                    <a:xfrm>
                      <a:off x="0" y="0"/>
                      <a:ext cx="737870" cy="806450"/>
                    </a:xfrm>
                    <a:prstGeom prst="rect">
                      <a:avLst/>
                    </a:prstGeom>
                  </pic:spPr>
                </pic:pic>
              </a:graphicData>
            </a:graphic>
          </wp:anchor>
        </w:drawing>
      </w:r>
    </w:p>
    <w:p>
      <w:pPr>
        <w:pStyle w:val="Normal"/>
        <w:spacing w:lineRule="auto" w:line="276" w:before="120" w:after="288"/>
        <w:ind w:firstLine="709"/>
        <w:jc w:val="center"/>
        <w:rPr>
          <w:rFonts w:ascii="Arial" w:hAnsi="Arial" w:cs="Arial"/>
          <w:b/>
          <w:b/>
          <w:i/>
          <w:i/>
          <w:color w:val="FF0000"/>
          <w:sz w:val="20"/>
          <w:szCs w:val="20"/>
        </w:rPr>
      </w:pPr>
      <w:r>
        <w:rPr>
          <w:rFonts w:cs="Arial" w:ascii="Arial" w:hAnsi="Arial"/>
          <w:b/>
          <w:i/>
          <w:color w:val="FF0000"/>
          <w:sz w:val="20"/>
          <w:szCs w:val="20"/>
        </w:rPr>
      </w:r>
    </w:p>
    <w:p>
      <w:pPr>
        <w:pStyle w:val="Normal"/>
        <w:spacing w:lineRule="auto" w:line="276" w:before="120" w:after="288"/>
        <w:ind w:firstLine="709"/>
        <w:jc w:val="center"/>
        <w:rPr>
          <w:rFonts w:ascii="Arial" w:hAnsi="Arial" w:cs="Arial"/>
          <w:b/>
          <w:b/>
          <w:i/>
          <w:i/>
          <w:color w:val="FF0000"/>
          <w:sz w:val="20"/>
          <w:szCs w:val="20"/>
        </w:rPr>
      </w:pPr>
      <w:r>
        <w:rPr>
          <w:rFonts w:cs="Arial" w:ascii="Arial" w:hAnsi="Arial"/>
          <w:b/>
          <w:i/>
          <w:color w:val="FF0000"/>
          <w:sz w:val="20"/>
          <w:szCs w:val="20"/>
        </w:rPr>
      </w:r>
    </w:p>
    <w:p>
      <w:pPr>
        <w:pStyle w:val="Normal"/>
        <w:spacing w:lineRule="auto" w:line="312" w:before="120" w:after="288"/>
        <w:ind w:firstLine="709"/>
        <w:jc w:val="center"/>
        <w:rPr>
          <w:rFonts w:ascii="Arial" w:hAnsi="Arial" w:eastAsia="Times New Roman" w:cs="Arial"/>
          <w:b/>
          <w:b/>
          <w:i/>
          <w:i/>
          <w:color w:val="FF0000"/>
          <w:sz w:val="20"/>
          <w:szCs w:val="20"/>
        </w:rPr>
      </w:pPr>
      <w:r>
        <w:rPr>
          <w:rFonts w:cs="Arial" w:ascii="Arial" w:hAnsi="Arial"/>
          <w:b/>
          <w:i/>
          <w:color w:val="FF0000"/>
          <w:sz w:val="20"/>
          <w:szCs w:val="20"/>
        </w:rPr>
        <w:t>ÓRGÃO OU ENTIDADE PÚBLICA</w:t>
      </w:r>
      <w:r>
        <w:rPr>
          <w:rFonts w:cs="Arial" w:ascii="Arial" w:hAnsi="Arial"/>
          <w:b/>
          <w:bCs/>
          <w:i/>
          <w:color w:val="FF0000"/>
          <w:sz w:val="20"/>
          <w:szCs w:val="20"/>
        </w:rPr>
        <w:t xml:space="preserve"> </w:t>
      </w:r>
    </w:p>
    <w:p>
      <w:pPr>
        <w:pStyle w:val="Normal"/>
        <w:spacing w:lineRule="auto" w:line="312" w:before="120" w:after="288"/>
        <w:ind w:firstLine="709"/>
        <w:jc w:val="center"/>
        <w:rPr/>
      </w:pPr>
      <w:r>
        <w:rPr>
          <w:rFonts w:cs="Arial" w:ascii="Arial" w:hAnsi="Arial"/>
          <w:color w:val="000000"/>
          <w:sz w:val="20"/>
          <w:szCs w:val="20"/>
        </w:rPr>
        <w:t>(Processo Administrativo n</w:t>
      </w:r>
      <w:r>
        <w:rPr>
          <w:rFonts w:cs="Arial" w:ascii="Arial" w:hAnsi="Arial"/>
          <w:bCs/>
          <w:color w:val="000000"/>
          <w:sz w:val="20"/>
          <w:szCs w:val="20"/>
        </w:rPr>
        <w:t>°01494.000352/2023-18)</w:t>
      </w:r>
    </w:p>
    <w:p>
      <w:pPr>
        <w:pStyle w:val="Prembulo"/>
        <w:spacing w:lineRule="auto" w:line="312" w:before="480" w:after="288"/>
        <w:ind w:left="4253" w:right="-170" w:hanging="0"/>
        <w:rPr>
          <w:bCs w:val="false"/>
        </w:rPr>
      </w:pPr>
      <w:r>
        <w:rPr>
          <w:bCs w:val="false"/>
        </w:rPr>
        <w:t xml:space="preserve">CONTRATO ADMINISTRATIVO Nº ......../...., QUE FAZEM ENTRE SI A UNIÃO, POR INTERMÉDIO DO (A) ......................................................... E ............................................................. </w:t>
      </w:r>
    </w:p>
    <w:p>
      <w:pPr>
        <w:pStyle w:val="Normal"/>
        <w:spacing w:lineRule="auto" w:line="276" w:before="120" w:after="120"/>
        <w:ind w:firstLine="1418"/>
        <w:jc w:val="both"/>
        <w:rPr/>
      </w:pPr>
      <w:r>
        <w:rPr>
          <w:rStyle w:val="Nfaseforte"/>
          <w:rFonts w:eastAsia="Arial" w:cs="Arial" w:ascii="Arial" w:hAnsi="Arial"/>
          <w:b w:val="false"/>
          <w:bCs w:val="false"/>
          <w:caps/>
          <w:color w:val="FF0000"/>
          <w:spacing w:val="0"/>
          <w:sz w:val="20"/>
          <w:szCs w:val="20"/>
        </w:rPr>
        <w:t>O</w:t>
      </w:r>
      <w:r>
        <w:rPr>
          <w:rStyle w:val="Nfaseforte"/>
          <w:rFonts w:eastAsia="Arial" w:cs="Arial" w:ascii="Arial" w:hAnsi="Arial"/>
          <w:caps/>
          <w:color w:val="FF0000"/>
          <w:spacing w:val="0"/>
          <w:sz w:val="20"/>
          <w:szCs w:val="20"/>
        </w:rPr>
        <w:t> </w:t>
      </w:r>
      <w:r>
        <w:rPr>
          <w:rStyle w:val="Nfaseforte"/>
          <w:rFonts w:eastAsia="Arial" w:cs="Arial" w:ascii="Arial" w:hAnsi="Arial"/>
          <w:b w:val="false"/>
          <w:i w:val="false"/>
          <w:caps/>
          <w:color w:val="FF0000"/>
          <w:spacing w:val="0"/>
          <w:sz w:val="20"/>
          <w:szCs w:val="20"/>
        </w:rPr>
        <w:t>INSTITUTO DO PATRIMÔNIO HISTÓRICO E ARTÍSTICO NACIONAL – IPHAN</w:t>
      </w:r>
      <w:r>
        <w:rPr>
          <w:rFonts w:eastAsia="Arial" w:cs="Arial" w:ascii="Arial" w:hAnsi="Arial"/>
          <w:b w:val="false"/>
          <w:i w:val="false"/>
          <w:caps/>
          <w:color w:val="FF0000"/>
          <w:spacing w:val="0"/>
          <w:sz w:val="20"/>
          <w:szCs w:val="20"/>
        </w:rPr>
        <w:t>, AUTARQUIA FEDERAL VINCULADA AO MINISTÉRIO DO TURISMO, CRIADO PELAS LEIS N.º 8.029 E 8.113, RESPECTIVAMENTE DE 12 DE ABRIL E DE 12 DE DEZEMBRO, AMBAS DE 1990, CUJA ESTRUTURA REGIMENTAL E OUTRAS PROVIDÊNCIAS FORAM ESTABELECIDAS PELO DECRETO N.º 11.178/2022, COM SEDE EM BRASÍLIA/DF, POR INTERMÉDIO DE SUA SUPERINTENDÊNCIA DO MARANHÃO, COM SEDE NA RUA DO GIZ, Nº 235, NA CIDADE DE SÃO LUÍS/MA, INSCRITA NO CNPJ/MF SOB O Nº 26.474.056/0004-14, NESTE ATO REPRESENTADO POR SUA SUPERINTENDENTE, </w:t>
      </w:r>
      <w:r>
        <w:rPr>
          <w:rStyle w:val="Nfaseforte"/>
          <w:rFonts w:eastAsia="Arial" w:cs="Arial" w:ascii="Arial" w:hAnsi="Arial"/>
          <w:b w:val="false"/>
          <w:i w:val="false"/>
          <w:caps/>
          <w:color w:val="FF0000"/>
          <w:spacing w:val="0"/>
          <w:sz w:val="20"/>
          <w:szCs w:val="20"/>
        </w:rPr>
        <w:t>SRA. LENA CAROLINA ANDRADE FERNANDES RIBEIRO BRANDÃO</w:t>
      </w:r>
      <w:r>
        <w:rPr>
          <w:rFonts w:eastAsia="Arial" w:cs="Arial" w:ascii="Arial" w:hAnsi="Arial"/>
          <w:b w:val="false"/>
          <w:i w:val="false"/>
          <w:caps/>
          <w:color w:val="FF0000"/>
          <w:spacing w:val="0"/>
          <w:sz w:val="20"/>
          <w:szCs w:val="20"/>
        </w:rPr>
        <w:t>, NOMEADA PELA PORTARIA Nº 624, DE 18 DE ABRIL DE 2023, PUBLICADA NO DOU DE 19 DE ABRIL DE 2023, PORTADORA DA MATRÍCULA FUNCIONAL Nº 3339450,</w:t>
      </w:r>
      <w:r>
        <w:rPr>
          <w:rFonts w:eastAsia="Arial" w:cs="Arial" w:ascii="Calibri" w:hAnsi="Calibri"/>
          <w:b w:val="false"/>
          <w:i w:val="false"/>
          <w:caps/>
          <w:color w:val="000000"/>
          <w:spacing w:val="0"/>
          <w:sz w:val="24"/>
          <w:szCs w:val="20"/>
        </w:rPr>
        <w:t xml:space="preserve"> DORAVANTE DENOMINADA CONTRATANTE, E A EMPRESA</w:t>
      </w:r>
      <w:r>
        <w:rPr>
          <w:rFonts w:eastAsia="Arial" w:cs="Arial" w:ascii="Arial" w:hAnsi="Arial"/>
          <w:sz w:val="20"/>
          <w:szCs w:val="20"/>
        </w:rPr>
        <w:t xml:space="preserve"> </w:t>
      </w:r>
      <w:commentRangeStart w:id="1"/>
      <w:r>
        <w:rPr>
          <w:rFonts w:eastAsia="Arial" w:cs="Arial" w:ascii="Arial" w:hAnsi="Arial"/>
          <w:sz w:val="20"/>
          <w:szCs w:val="20"/>
        </w:rPr>
        <w:t xml:space="preserve"> </w:t>
      </w:r>
      <w:r>
        <w:rPr>
          <w:rFonts w:eastAsia="Arial" w:cs="Arial" w:ascii="Arial" w:hAnsi="Arial"/>
          <w:color w:val="FF0000"/>
          <w:sz w:val="20"/>
          <w:szCs w:val="20"/>
        </w:rPr>
        <w:t>..............................,</w:t>
      </w:r>
      <w:r>
        <w:rPr>
          <w:rFonts w:eastAsia="Arial" w:cs="Arial" w:ascii="Arial" w:hAnsi="Arial"/>
          <w:sz w:val="20"/>
          <w:szCs w:val="20"/>
        </w:rPr>
        <w:t xml:space="preserve"> </w:t>
      </w:r>
      <w:r>
        <w:rPr>
          <w:rFonts w:eastAsia="Arial" w:cs="Arial" w:ascii="Arial" w:hAnsi="Arial"/>
          <w:i/>
          <w:iCs/>
          <w:color w:val="FF0000"/>
          <w:sz w:val="20"/>
          <w:szCs w:val="20"/>
        </w:rPr>
        <w:t>inscrito(a) no CNPJ/MF sob o nº ............................, sediado(a) na</w:t>
      </w:r>
      <w:r>
        <w:rPr>
          <w:rFonts w:eastAsia="Arial" w:cs="Arial" w:ascii="Arial" w:hAnsi="Arial"/>
          <w:sz w:val="20"/>
          <w:szCs w:val="20"/>
        </w:rPr>
        <w:t xml:space="preserve"> </w:t>
      </w:r>
      <w:r>
        <w:rPr>
          <w:rFonts w:eastAsia="Arial" w:cs="Arial" w:ascii="Arial" w:hAnsi="Arial"/>
          <w:color w:val="FF0000"/>
          <w:sz w:val="20"/>
          <w:szCs w:val="20"/>
        </w:rPr>
        <w:t>...................................</w:t>
      </w:r>
      <w:r>
        <w:rPr>
          <w:rFonts w:eastAsia="Arial" w:cs="Arial" w:ascii="Arial" w:hAnsi="Arial"/>
          <w:sz w:val="20"/>
          <w:szCs w:val="20"/>
        </w:rPr>
        <w:t xml:space="preserve">, </w:t>
      </w:r>
      <w:r>
        <w:rPr>
          <w:rFonts w:eastAsia="Arial" w:cs="Arial" w:ascii="Arial" w:hAnsi="Arial"/>
          <w:i/>
          <w:iCs/>
          <w:color w:val="FF0000"/>
          <w:sz w:val="20"/>
          <w:szCs w:val="20"/>
        </w:rPr>
        <w:t>em</w:t>
      </w:r>
      <w:r>
        <w:rPr>
          <w:rFonts w:eastAsia="Arial" w:cs="Arial" w:ascii="Arial" w:hAnsi="Arial"/>
          <w:sz w:val="20"/>
          <w:szCs w:val="20"/>
        </w:rPr>
        <w:t xml:space="preserve"> </w:t>
      </w:r>
      <w:r>
        <w:rPr>
          <w:rFonts w:eastAsia="Arial" w:cs="Arial" w:ascii="Arial" w:hAnsi="Arial"/>
          <w:color w:val="FF0000"/>
          <w:sz w:val="20"/>
          <w:szCs w:val="20"/>
        </w:rPr>
        <w:t>.............................</w:t>
      </w:r>
      <w:r>
        <w:rPr>
          <w:rFonts w:eastAsia="Arial" w:cs="Arial" w:ascii="Arial" w:hAnsi="Arial"/>
          <w:sz w:val="20"/>
          <w:szCs w:val="20"/>
        </w:rPr>
        <w:t xml:space="preserve"> doravante designado CONTRATADO, </w:t>
      </w:r>
      <w:r>
        <w:rPr>
          <w:rFonts w:eastAsia="Arial" w:cs="Arial" w:ascii="Arial" w:hAnsi="Arial"/>
          <w:i/>
          <w:iCs/>
          <w:color w:val="FF0000"/>
          <w:sz w:val="20"/>
          <w:szCs w:val="20"/>
        </w:rPr>
        <w:t>neste ato representado(a) por</w:t>
      </w:r>
      <w:r>
        <w:rPr>
          <w:rFonts w:eastAsia="Arial" w:cs="Arial" w:ascii="Arial" w:hAnsi="Arial"/>
          <w:color w:val="FF0000"/>
          <w:sz w:val="20"/>
          <w:szCs w:val="20"/>
        </w:rPr>
        <w:t xml:space="preserve"> </w:t>
      </w:r>
      <w:r>
        <w:rPr>
          <w:rFonts w:eastAsia="Arial" w:cs="Arial" w:ascii="Arial" w:hAnsi="Arial"/>
          <w:sz w:val="20"/>
          <w:szCs w:val="20"/>
        </w:rPr>
        <w:t xml:space="preserve">.................................. </w:t>
      </w:r>
      <w:r>
        <w:rPr>
          <w:rFonts w:eastAsia="Arial" w:cs="Arial" w:ascii="Arial" w:hAnsi="Arial"/>
          <w:color w:val="FF0000"/>
          <w:sz w:val="20"/>
          <w:szCs w:val="20"/>
        </w:rPr>
        <w:t>(nome e função no contratado)</w:t>
      </w:r>
      <w:r>
        <w:rPr>
          <w:rFonts w:eastAsia="Arial" w:cs="Arial" w:ascii="Arial" w:hAnsi="Arial"/>
          <w:sz w:val="20"/>
          <w:szCs w:val="20"/>
        </w:rPr>
        <w:t xml:space="preserve">, </w:t>
      </w:r>
      <w:r>
        <w:rPr>
          <w:rFonts w:eastAsia="Arial" w:cs="Arial" w:ascii="Arial" w:hAnsi="Arial"/>
          <w:i/>
          <w:iCs/>
          <w:color w:val="FF0000"/>
          <w:sz w:val="20"/>
          <w:szCs w:val="20"/>
        </w:rPr>
        <w:t xml:space="preserve">conforme atos constitutivos da empresa </w:t>
      </w:r>
      <w:r>
        <w:rPr>
          <w:rFonts w:eastAsia="Arial" w:cs="Arial" w:ascii="Arial" w:hAnsi="Arial"/>
          <w:b/>
          <w:bCs/>
          <w:i/>
          <w:iCs/>
          <w:color w:val="FF0000"/>
          <w:sz w:val="20"/>
          <w:szCs w:val="20"/>
        </w:rPr>
        <w:t>OU</w:t>
      </w:r>
      <w:r>
        <w:rPr>
          <w:rFonts w:eastAsia="Arial" w:cs="Arial" w:ascii="Arial" w:hAnsi="Arial"/>
          <w:i/>
          <w:iCs/>
          <w:color w:val="FF0000"/>
          <w:sz w:val="20"/>
          <w:szCs w:val="20"/>
        </w:rPr>
        <w:t xml:space="preserve"> procuração apresentada nos autos, </w:t>
      </w:r>
      <w:r>
        <w:rPr>
          <w:rFonts w:eastAsia="Arial" w:cs="Arial" w:ascii="Arial" w:hAnsi="Arial"/>
          <w:sz w:val="20"/>
          <w:szCs w:val="20"/>
        </w:rPr>
        <w:t>tendo em vista o que consta no Processo nº</w:t>
      </w:r>
      <w:r>
        <w:rPr>
          <w:rFonts w:eastAsia="Arial" w:cs="Arial" w:ascii="Arial" w:hAnsi="Arial"/>
          <w:color w:val="FF0000"/>
          <w:sz w:val="20"/>
          <w:szCs w:val="20"/>
        </w:rPr>
        <w:t xml:space="preserve"> 01494.000352/2023-18 </w:t>
      </w:r>
      <w:r>
        <w:rPr>
          <w:rFonts w:eastAsia="Arial" w:cs="Arial" w:ascii="Arial" w:hAnsi="Arial"/>
          <w:sz w:val="20"/>
          <w:szCs w:val="20"/>
        </w:rPr>
        <w:t xml:space="preserve">e em observância às disposições da Lei nº 14.133, de 1º de abril de 2021, e demais legislação aplicável, resolvem celebrar o presente Termo de Contrato, decorrente </w:t>
      </w:r>
      <w:r>
        <w:rPr>
          <w:rFonts w:eastAsia="Arial" w:cs="Arial" w:ascii="Arial" w:hAnsi="Arial"/>
          <w:i/>
          <w:iCs/>
          <w:color w:val="FF0000"/>
          <w:sz w:val="20"/>
          <w:szCs w:val="20"/>
        </w:rPr>
        <w:t>do Pregão Eletrônico n. .../...</w:t>
      </w:r>
      <w:r>
        <w:rPr>
          <w:rFonts w:eastAsia="Arial" w:cs="Arial" w:ascii="Arial" w:hAnsi="Arial"/>
          <w:sz w:val="20"/>
          <w:szCs w:val="20"/>
        </w:rPr>
        <w:t>, mediante as cláusulas e condições a seguir enunciadas.</w:t>
      </w:r>
      <w:commentRangeEnd w:id="1"/>
      <w:r>
        <w:commentReference w:id="1"/>
      </w:r>
      <w:r>
        <w:rPr>
          <w:rFonts w:eastAsia="Arial" w:cs="Arial" w:ascii="Arial" w:hAnsi="Arial"/>
          <w:sz w:val="20"/>
          <w:szCs w:val="20"/>
        </w:rPr>
      </w:r>
    </w:p>
    <w:p>
      <w:pPr>
        <w:pStyle w:val="Nivel01"/>
        <w:numPr>
          <w:ilvl w:val="0"/>
          <w:numId w:val="2"/>
        </w:numPr>
        <w:rPr/>
      </w:pPr>
      <w:r>
        <w:rPr/>
        <w:t>CLÁUSULA PRIMEIRA – OBJETO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I e II</w:t>
      </w:r>
      <w:r>
        <w:rPr>
          <w:rStyle w:val="LinkdaInternet"/>
        </w:rPr>
        <w:fldChar w:fldCharType="end"/>
      </w:r>
      <w:r>
        <w:rPr/>
        <w:t>)</w:t>
      </w:r>
    </w:p>
    <w:p>
      <w:pPr>
        <w:pStyle w:val="Nivel2"/>
        <w:numPr>
          <w:ilvl w:val="1"/>
          <w:numId w:val="1"/>
        </w:numPr>
        <w:ind w:left="0" w:hanging="0"/>
        <w:rPr/>
      </w:pPr>
      <w:r>
        <w:rPr/>
        <w:t xml:space="preserve">Contratação de empresa especializada na prestação de serviços continuados de motoristas, para condução de veículos da frota oficial do IPHAN-MA, em atendimento as necessidades da Superintendência do IPHAN no Maranhão, localizada na Rua do Giz nº 235, Centro, São Luís-MA, </w:t>
      </w:r>
      <w:r>
        <w:rPr>
          <w:color w:val="FF0000"/>
        </w:rPr>
        <w:t>sendo exigido um efetivo para desempenho das tarefas,</w:t>
      </w:r>
      <w:r>
        <w:rPr/>
        <w:t xml:space="preserve"> a serem executados com regime de dedicação exclusiva de mão de obra, nos termos da tabela abaixo, conforme condições e exigências estabelecidas No Termo de Referência, </w:t>
      </w:r>
      <w:r>
        <w:rPr>
          <w:color w:val="FF0000"/>
        </w:rPr>
        <w:t>edital e seus anexos.</w:t>
      </w:r>
    </w:p>
    <w:p>
      <w:pPr>
        <w:pStyle w:val="Nivel2"/>
        <w:numPr>
          <w:ilvl w:val="1"/>
          <w:numId w:val="1"/>
        </w:numPr>
        <w:ind w:left="0" w:hanging="0"/>
        <w:rPr/>
      </w:pPr>
      <w:r>
        <w:rPr/>
        <w:t>Objeto da contratação:</w:t>
      </w:r>
    </w:p>
    <w:p>
      <w:pPr>
        <w:pStyle w:val="Nivel2"/>
        <w:widowControl/>
        <w:numPr>
          <w:ilvl w:val="0"/>
          <w:numId w:val="0"/>
        </w:numPr>
        <w:bidi w:val="0"/>
        <w:spacing w:lineRule="auto" w:line="276" w:before="120" w:after="120"/>
        <w:ind w:left="360" w:hanging="0"/>
        <w:rPr/>
      </w:pPr>
      <w:r>
        <w:rPr>
          <w:rFonts w:eastAsia="Arial" w:cs="Arial"/>
          <w:b w:val="false"/>
          <w:bCs w:val="false"/>
          <w:i w:val="false"/>
          <w:iCs w:val="false"/>
          <w:color w:val="000000"/>
          <w:kern w:val="0"/>
          <w:sz w:val="20"/>
          <w:szCs w:val="20"/>
          <w:lang w:val="pt-BR" w:eastAsia="pt-BR" w:bidi="ar-SA"/>
        </w:rPr>
        <w:t>GRUPO 1:</w:t>
      </w:r>
    </w:p>
    <w:tbl>
      <w:tblPr>
        <w:tblW w:w="8218" w:type="dxa"/>
        <w:jc w:val="left"/>
        <w:tblInd w:w="-5" w:type="dxa"/>
        <w:tblCellMar>
          <w:top w:w="0" w:type="dxa"/>
          <w:left w:w="108" w:type="dxa"/>
          <w:bottom w:w="0" w:type="dxa"/>
          <w:right w:w="108" w:type="dxa"/>
        </w:tblCellMar>
        <w:tblLook w:firstRow="1" w:noVBand="1" w:lastRow="0" w:firstColumn="1" w:lastColumn="0" w:noHBand="0" w:val="04a0"/>
      </w:tblPr>
      <w:tblGrid>
        <w:gridCol w:w="1641"/>
        <w:gridCol w:w="2268"/>
        <w:gridCol w:w="1191"/>
        <w:gridCol w:w="3117"/>
      </w:tblGrid>
      <w:tr>
        <w:trPr>
          <w:trHeight w:val="851" w:hRule="exact"/>
        </w:trPr>
        <w:tc>
          <w:tcPr>
            <w:tcW w:w="1641"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312" w:before="120" w:after="288"/>
              <w:jc w:val="center"/>
              <w:rPr>
                <w:color w:val="C9211E"/>
              </w:rPr>
            </w:pPr>
            <w:r>
              <w:rPr>
                <w:rFonts w:cs="Arial" w:ascii="Arial" w:hAnsi="Arial"/>
                <w:b/>
                <w:bCs/>
                <w:i w:val="false"/>
                <w:iCs w:val="false"/>
                <w:color w:val="C9211E"/>
                <w:sz w:val="20"/>
                <w:szCs w:val="20"/>
              </w:rPr>
              <w:t>ITEM</w:t>
            </w:r>
          </w:p>
        </w:tc>
        <w:tc>
          <w:tcPr>
            <w:tcW w:w="2268"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312" w:before="120" w:after="288"/>
              <w:rPr>
                <w:color w:val="C9211E"/>
              </w:rPr>
            </w:pPr>
            <w:r>
              <w:rPr>
                <w:rFonts w:cs="Arial" w:ascii="Arial" w:hAnsi="Arial"/>
                <w:b/>
                <w:bCs/>
                <w:i w:val="false"/>
                <w:iCs w:val="false"/>
                <w:color w:val="C9211E"/>
                <w:sz w:val="20"/>
                <w:szCs w:val="20"/>
              </w:rPr>
              <w:t>ESPECIFICAÇÃO</w:t>
            </w:r>
          </w:p>
        </w:tc>
        <w:tc>
          <w:tcPr>
            <w:tcW w:w="1191"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312" w:before="120" w:after="288"/>
              <w:rPr>
                <w:color w:val="C9211E"/>
              </w:rPr>
            </w:pPr>
            <w:r>
              <w:rPr>
                <w:rFonts w:cs="Arial" w:ascii="Arial" w:hAnsi="Arial"/>
                <w:b/>
                <w:bCs/>
                <w:i w:val="false"/>
                <w:iCs w:val="false"/>
                <w:color w:val="C9211E"/>
                <w:sz w:val="20"/>
                <w:szCs w:val="20"/>
              </w:rPr>
              <w:t>Qtd</w:t>
            </w:r>
          </w:p>
        </w:tc>
        <w:tc>
          <w:tcPr>
            <w:tcW w:w="3117"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312" w:before="120" w:after="288"/>
              <w:rPr>
                <w:color w:val="C9211E"/>
              </w:rPr>
            </w:pPr>
            <w:r>
              <w:rPr>
                <w:rFonts w:cs="Arial" w:ascii="Arial" w:hAnsi="Arial"/>
                <w:b/>
                <w:bCs/>
                <w:i w:val="false"/>
                <w:iCs w:val="false"/>
                <w:color w:val="C9211E"/>
                <w:sz w:val="20"/>
                <w:szCs w:val="20"/>
              </w:rPr>
              <w:t>Período</w:t>
            </w:r>
          </w:p>
        </w:tc>
      </w:tr>
      <w:tr>
        <w:trPr>
          <w:trHeight w:val="567" w:hRule="exact"/>
        </w:trPr>
        <w:tc>
          <w:tcPr>
            <w:tcW w:w="1641"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312" w:before="120" w:after="288"/>
              <w:jc w:val="center"/>
              <w:rPr>
                <w:color w:val="C9211E"/>
              </w:rPr>
            </w:pPr>
            <w:r>
              <w:rPr>
                <w:rFonts w:cs="Arial" w:ascii="Arial" w:hAnsi="Arial"/>
                <w:b w:val="false"/>
                <w:bCs w:val="false"/>
                <w:i w:val="false"/>
                <w:iCs w:val="false"/>
                <w:color w:val="C9211E"/>
                <w:sz w:val="20"/>
                <w:szCs w:val="20"/>
              </w:rPr>
              <w:t>1</w:t>
            </w:r>
          </w:p>
        </w:tc>
        <w:tc>
          <w:tcPr>
            <w:tcW w:w="2268"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312" w:before="120" w:after="288"/>
              <w:rPr>
                <w:color w:val="C9211E"/>
              </w:rPr>
            </w:pPr>
            <w:r>
              <w:rPr>
                <w:rFonts w:cs="Arial" w:ascii="Arial" w:hAnsi="Arial"/>
                <w:b w:val="false"/>
                <w:bCs w:val="false"/>
                <w:i w:val="false"/>
                <w:iCs w:val="false"/>
                <w:color w:val="C9211E"/>
                <w:sz w:val="20"/>
                <w:szCs w:val="20"/>
              </w:rPr>
              <w:t>Motorista</w:t>
            </w:r>
          </w:p>
        </w:tc>
        <w:tc>
          <w:tcPr>
            <w:tcW w:w="1191"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312" w:before="120" w:after="288"/>
              <w:rPr>
                <w:color w:val="C9211E"/>
              </w:rPr>
            </w:pPr>
            <w:r>
              <w:rPr>
                <w:rFonts w:cs="Arial" w:ascii="Arial" w:hAnsi="Arial"/>
                <w:b w:val="false"/>
                <w:bCs w:val="false"/>
                <w:i w:val="false"/>
                <w:iCs w:val="false"/>
                <w:color w:val="C9211E"/>
                <w:sz w:val="20"/>
                <w:szCs w:val="20"/>
              </w:rPr>
              <w:t>2</w:t>
            </w:r>
          </w:p>
        </w:tc>
        <w:tc>
          <w:tcPr>
            <w:tcW w:w="3117"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312" w:before="120" w:after="288"/>
              <w:rPr>
                <w:color w:val="C9211E"/>
              </w:rPr>
            </w:pPr>
            <w:r>
              <w:rPr>
                <w:rFonts w:cs="Arial" w:ascii="Arial" w:hAnsi="Arial"/>
                <w:b w:val="false"/>
                <w:bCs w:val="false"/>
                <w:i w:val="false"/>
                <w:iCs w:val="false"/>
                <w:color w:val="C9211E"/>
                <w:sz w:val="20"/>
                <w:szCs w:val="20"/>
              </w:rPr>
              <w:t>12 meses</w:t>
            </w:r>
          </w:p>
        </w:tc>
      </w:tr>
      <w:tr>
        <w:trPr>
          <w:trHeight w:val="567" w:hRule="exact"/>
        </w:trPr>
        <w:tc>
          <w:tcPr>
            <w:tcW w:w="1641" w:type="dxa"/>
            <w:tcBorders>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312" w:before="120" w:after="288"/>
              <w:jc w:val="center"/>
              <w:rPr>
                <w:color w:val="C9211E"/>
              </w:rPr>
            </w:pPr>
            <w:r>
              <w:rPr>
                <w:rFonts w:ascii="Arial" w:hAnsi="Arial"/>
                <w:color w:val="C9211E"/>
                <w:sz w:val="20"/>
                <w:szCs w:val="20"/>
              </w:rPr>
              <w:t>2</w:t>
            </w:r>
          </w:p>
        </w:tc>
        <w:tc>
          <w:tcPr>
            <w:tcW w:w="2268" w:type="dxa"/>
            <w:tcBorders>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312" w:before="120" w:after="288"/>
              <w:rPr>
                <w:color w:val="C9211E"/>
              </w:rPr>
            </w:pPr>
            <w:r>
              <w:rPr>
                <w:rFonts w:ascii="Arial" w:hAnsi="Arial"/>
                <w:color w:val="C9211E"/>
                <w:sz w:val="20"/>
                <w:szCs w:val="20"/>
              </w:rPr>
              <w:t>Diárias</w:t>
            </w:r>
          </w:p>
        </w:tc>
        <w:tc>
          <w:tcPr>
            <w:tcW w:w="1191" w:type="dxa"/>
            <w:tcBorders>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312" w:before="120" w:after="288"/>
              <w:rPr>
                <w:color w:val="C9211E"/>
              </w:rPr>
            </w:pPr>
            <w:r>
              <w:rPr>
                <w:rFonts w:ascii="Arial" w:hAnsi="Arial"/>
                <w:color w:val="C9211E"/>
                <w:sz w:val="20"/>
                <w:szCs w:val="20"/>
              </w:rPr>
              <w:t>72</w:t>
            </w:r>
          </w:p>
        </w:tc>
        <w:tc>
          <w:tcPr>
            <w:tcW w:w="3117" w:type="dxa"/>
            <w:tcBorders>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312" w:before="120" w:after="288"/>
              <w:rPr>
                <w:color w:val="C9211E"/>
              </w:rPr>
            </w:pPr>
            <w:r>
              <w:rPr>
                <w:rFonts w:ascii="Arial" w:hAnsi="Arial"/>
                <w:color w:val="C9211E"/>
                <w:sz w:val="20"/>
                <w:szCs w:val="20"/>
              </w:rPr>
              <w:t>12 meses</w:t>
            </w:r>
          </w:p>
        </w:tc>
      </w:tr>
    </w:tbl>
    <w:p>
      <w:pPr>
        <w:pStyle w:val="Nivel2"/>
        <w:numPr>
          <w:ilvl w:val="0"/>
          <w:numId w:val="0"/>
        </w:numPr>
        <w:ind w:left="4969" w:hanging="0"/>
        <w:rPr>
          <w:i w:val="false"/>
          <w:i w:val="false"/>
          <w:iCs w:val="false"/>
          <w:color w:val="000000"/>
          <w:sz w:val="20"/>
          <w:szCs w:val="20"/>
        </w:rPr>
      </w:pPr>
      <w:r>
        <w:rPr/>
      </w:r>
    </w:p>
    <w:p>
      <w:pPr>
        <w:pStyle w:val="Nivel2"/>
        <w:numPr>
          <w:ilvl w:val="1"/>
          <w:numId w:val="1"/>
        </w:numPr>
        <w:ind w:left="0" w:hanging="0"/>
        <w:rPr/>
      </w:pPr>
      <w:r>
        <w:rPr/>
        <w:t>Vinculam esta contratação, independentemente de transcrição:</w:t>
      </w:r>
    </w:p>
    <w:p>
      <w:pPr>
        <w:pStyle w:val="Nivel3"/>
        <w:numPr>
          <w:ilvl w:val="2"/>
          <w:numId w:val="1"/>
        </w:numPr>
        <w:ind w:left="284" w:hanging="0"/>
        <w:rPr/>
      </w:pPr>
      <w:r>
        <w:rPr/>
        <w:t>O Termo de Referência;</w:t>
      </w:r>
    </w:p>
    <w:p>
      <w:pPr>
        <w:pStyle w:val="Nivel3"/>
        <w:numPr>
          <w:ilvl w:val="2"/>
          <w:numId w:val="1"/>
        </w:numPr>
        <w:ind w:left="284" w:hanging="0"/>
        <w:rPr/>
      </w:pPr>
      <w:r>
        <w:rPr/>
        <w:t>O Edital da Licitação;</w:t>
      </w:r>
    </w:p>
    <w:p>
      <w:pPr>
        <w:pStyle w:val="Nivel3"/>
        <w:numPr>
          <w:ilvl w:val="2"/>
          <w:numId w:val="1"/>
        </w:numPr>
        <w:ind w:left="284" w:hanging="0"/>
        <w:rPr/>
      </w:pPr>
      <w:r>
        <w:rPr/>
        <w:t>A Proposta do contratado;</w:t>
      </w:r>
    </w:p>
    <w:p>
      <w:pPr>
        <w:pStyle w:val="Nivel3"/>
        <w:numPr>
          <w:ilvl w:val="2"/>
          <w:numId w:val="1"/>
        </w:numPr>
        <w:ind w:left="284" w:hanging="0"/>
        <w:rPr/>
      </w:pPr>
      <w:r>
        <w:rPr/>
        <w:t>Eventuais anexos dos documentos supracitados.</w:t>
      </w:r>
    </w:p>
    <w:p>
      <w:pPr>
        <w:pStyle w:val="Nivel01"/>
        <w:numPr>
          <w:ilvl w:val="0"/>
          <w:numId w:val="1"/>
        </w:numPr>
        <w:ind w:left="0" w:hanging="0"/>
        <w:rPr>
          <w:color w:val="FFFFFF" w:themeColor="background1"/>
        </w:rPr>
      </w:pPr>
      <w:r>
        <w:rPr/>
        <w:t xml:space="preserve">CLÁUSULA SEGUNDA – VIGÊNCIA E </w:t>
      </w:r>
      <w:commentRangeStart w:id="2"/>
      <w:r>
        <w:rPr/>
        <w:t>PRORROGAÇÃO</w:t>
      </w:r>
      <w:commentRangeEnd w:id="2"/>
      <w:r>
        <w:commentReference w:id="2"/>
      </w:r>
      <w:r>
        <w:rPr/>
      </w:r>
    </w:p>
    <w:p>
      <w:pPr>
        <w:pStyle w:val="Nivel2"/>
        <w:numPr>
          <w:ilvl w:val="1"/>
          <w:numId w:val="1"/>
        </w:numPr>
        <w:ind w:left="0" w:hanging="0"/>
        <w:rPr/>
      </w:pPr>
      <w:r>
        <w:rPr>
          <w:rFonts w:eastAsia="Arial" w:cs="Arial"/>
          <w:b w:val="false"/>
          <w:bCs w:val="false"/>
          <w:i w:val="false"/>
          <w:iCs w:val="false"/>
          <w:color w:val="000000"/>
          <w:sz w:val="20"/>
          <w:szCs w:val="20"/>
          <w:lang w:eastAsia="pt-BR"/>
        </w:rPr>
        <w:t xml:space="preserve">O prazo de vigência da contratação é de </w:t>
      </w:r>
      <w:r>
        <w:rPr>
          <w:rFonts w:eastAsia="Arial" w:cs="Arial"/>
          <w:b w:val="false"/>
          <w:bCs w:val="false"/>
          <w:i w:val="false"/>
          <w:iCs w:val="false"/>
          <w:color w:val="FF0000"/>
          <w:sz w:val="20"/>
          <w:szCs w:val="20"/>
          <w:lang w:eastAsia="pt-BR"/>
        </w:rPr>
        <w:t>12 (doze) meses,</w:t>
      </w:r>
      <w:r>
        <w:rPr>
          <w:rFonts w:eastAsia="Arial" w:cs="Arial"/>
          <w:b w:val="false"/>
          <w:bCs w:val="false"/>
          <w:i w:val="false"/>
          <w:iCs w:val="false"/>
          <w:color w:val="000000"/>
          <w:sz w:val="20"/>
          <w:szCs w:val="20"/>
          <w:lang w:eastAsia="pt-BR"/>
        </w:rPr>
        <w:t xml:space="preserve"> contados da data da ordem de serviço, </w:t>
      </w:r>
      <w:r>
        <w:rPr>
          <w:b w:val="false"/>
          <w:bCs w:val="false"/>
          <w:i w:val="false"/>
          <w:iCs w:val="false"/>
        </w:rPr>
        <w:t xml:space="preserve">prorrogável sucessivamente por até 10 anos, na forma dos </w:t>
      </w:r>
      <w:r>
        <w:fldChar w:fldCharType="begin"/>
      </w:r>
      <w:r>
        <w:rPr>
          <w:rStyle w:val="LinkdaInternet"/>
          <w:i w:val="false"/>
          <w:b w:val="false"/>
          <w:iCs w:val="false"/>
          <w:bCs w:val="false"/>
        </w:rPr>
        <w:instrText> HYPERLINK "http://www.planalto.gov.br/ccivil_03/_ato2019-2022/2021/lei/L14133.htm" \l "art106"</w:instrText>
      </w:r>
      <w:r>
        <w:rPr>
          <w:rStyle w:val="LinkdaInternet"/>
          <w:i w:val="false"/>
          <w:b w:val="false"/>
          <w:iCs w:val="false"/>
          <w:bCs w:val="false"/>
        </w:rPr>
        <w:fldChar w:fldCharType="separate"/>
      </w:r>
      <w:r>
        <w:rPr>
          <w:rStyle w:val="LinkdaInternet"/>
          <w:b w:val="false"/>
          <w:bCs w:val="false"/>
          <w:i w:val="false"/>
          <w:iCs w:val="false"/>
        </w:rPr>
        <w:t>artigos 106 e 107 da Lei n° 14.133, de 2021.</w:t>
      </w:r>
      <w:r>
        <w:rPr>
          <w:rStyle w:val="LinkdaInternet"/>
          <w:i w:val="false"/>
          <w:b w:val="false"/>
          <w:iCs w:val="false"/>
          <w:bCs w:val="false"/>
        </w:rPr>
        <w:fldChar w:fldCharType="end"/>
      </w:r>
    </w:p>
    <w:p>
      <w:pPr>
        <w:pStyle w:val="Nivel2"/>
        <w:numPr>
          <w:ilvl w:val="1"/>
          <w:numId w:val="1"/>
        </w:numPr>
        <w:ind w:left="0" w:hanging="0"/>
        <w:rPr/>
      </w:pPr>
      <w:r>
        <w:rPr/>
        <w:t xml:space="preserve">A prorrogação de que trata este item é condicionada ao ateste, pela autoridade competente, de que as condições e os preços permanecem vantajosos para a Administração, permitida a negociação com o contratado, atentando, ainda, para o cumprimento dos seguintes requisitos: </w:t>
      </w:r>
    </w:p>
    <w:p>
      <w:pPr>
        <w:pStyle w:val="Nivel2"/>
        <w:numPr>
          <w:ilvl w:val="1"/>
          <w:numId w:val="7"/>
        </w:numPr>
        <w:ind w:left="284" w:hanging="0"/>
        <w:rPr>
          <w:color w:val="auto"/>
        </w:rPr>
      </w:pPr>
      <w:r>
        <w:rPr/>
        <w:t>E</w:t>
      </w:r>
      <w:r>
        <w:rPr>
          <w:color w:val="auto"/>
        </w:rPr>
        <w:t>star formalmente demonstrado no processo que a forma de prestação dos serviços tem natureza continuada;</w:t>
      </w:r>
    </w:p>
    <w:p>
      <w:pPr>
        <w:pStyle w:val="Nivel2"/>
        <w:numPr>
          <w:ilvl w:val="1"/>
          <w:numId w:val="7"/>
        </w:numPr>
        <w:ind w:left="284" w:hanging="0"/>
        <w:rPr>
          <w:color w:val="auto"/>
        </w:rPr>
      </w:pPr>
      <w:r>
        <w:rPr>
          <w:color w:val="auto"/>
        </w:rPr>
        <w:t xml:space="preserve">Seja juntado relatório que discorra sobre a execução do contrato, com informações de que os serviços tenham sido prestados regularmente;  </w:t>
      </w:r>
    </w:p>
    <w:p>
      <w:pPr>
        <w:pStyle w:val="Nivel2"/>
        <w:numPr>
          <w:ilvl w:val="1"/>
          <w:numId w:val="7"/>
        </w:numPr>
        <w:ind w:left="284" w:hanging="0"/>
        <w:rPr>
          <w:color w:val="auto"/>
        </w:rPr>
      </w:pPr>
      <w:r>
        <w:rPr>
          <w:color w:val="auto"/>
        </w:rPr>
        <w:t xml:space="preserve">Seja juntada justificativa e motivo, por escrito, de que a Administração mantém interesse na realização do serviço;  </w:t>
      </w:r>
    </w:p>
    <w:p>
      <w:pPr>
        <w:pStyle w:val="Nivel2"/>
        <w:numPr>
          <w:ilvl w:val="1"/>
          <w:numId w:val="7"/>
        </w:numPr>
        <w:ind w:left="284" w:hanging="0"/>
        <w:rPr>
          <w:color w:val="auto"/>
        </w:rPr>
      </w:pPr>
      <w:r>
        <w:rPr>
          <w:color w:val="auto"/>
        </w:rPr>
        <w:t xml:space="preserve">Haja manifestação expressa do contratado informando o interesse na prorrogação; </w:t>
      </w:r>
    </w:p>
    <w:p>
      <w:pPr>
        <w:pStyle w:val="Nivel2"/>
        <w:numPr>
          <w:ilvl w:val="1"/>
          <w:numId w:val="7"/>
        </w:numPr>
        <w:ind w:left="284" w:hanging="0"/>
        <w:rPr>
          <w:color w:val="auto"/>
        </w:rPr>
      </w:pPr>
      <w:r>
        <w:rPr>
          <w:color w:val="auto"/>
        </w:rPr>
        <w:t>Seja comprovado que o contratado mantém as condições iniciais de habilitação.</w:t>
      </w:r>
    </w:p>
    <w:p>
      <w:pPr>
        <w:pStyle w:val="Nivel2"/>
        <w:numPr>
          <w:ilvl w:val="1"/>
          <w:numId w:val="1"/>
        </w:numPr>
        <w:ind w:left="0" w:hanging="0"/>
        <w:rPr/>
      </w:pPr>
      <w:r>
        <w:rPr/>
        <w:t>O contratado não tem direito subjetivo à prorrogação contratual.</w:t>
      </w:r>
    </w:p>
    <w:p>
      <w:pPr>
        <w:pStyle w:val="Nivel2"/>
        <w:numPr>
          <w:ilvl w:val="1"/>
          <w:numId w:val="1"/>
        </w:numPr>
        <w:ind w:left="0" w:hanging="0"/>
        <w:rPr/>
      </w:pPr>
      <w:r>
        <w:rPr/>
        <w:t xml:space="preserve">A prorrogação de contrato deverá ser promovida mediante celebração de termo aditivo. </w:t>
      </w:r>
    </w:p>
    <w:p>
      <w:pPr>
        <w:pStyle w:val="Nivel2"/>
        <w:numPr>
          <w:ilvl w:val="1"/>
          <w:numId w:val="1"/>
        </w:numPr>
        <w:ind w:left="0" w:hanging="0"/>
        <w:rPr/>
      </w:pPr>
      <w:r>
        <w:rPr/>
        <w:t>Nas eventuais prorrogações contratuais, os custos não renováveis já pagos ou amortizados ao longo do primeiro período de vigência da contratação deverão ser reduzidos ou eliminados como condição para a renovação.</w:t>
      </w:r>
    </w:p>
    <w:p>
      <w:pPr>
        <w:pStyle w:val="Nivel2"/>
        <w:numPr>
          <w:ilvl w:val="1"/>
          <w:numId w:val="1"/>
        </w:numPr>
        <w:ind w:left="0" w:hanging="0"/>
        <w:rPr/>
      </w:pPr>
      <w:r>
        <w:rPr/>
        <w:t>O contrato não poderá ser prorrogado quando o contratado tiver sido penalizado nas sanções de declaração de inidoneidade ou impedimento de licitar e contratar com poder público, observadas as abrangências de aplicação.</w:t>
      </w:r>
    </w:p>
    <w:p>
      <w:pPr>
        <w:pStyle w:val="Nivel01"/>
        <w:numPr>
          <w:ilvl w:val="0"/>
          <w:numId w:val="1"/>
        </w:numPr>
        <w:ind w:left="0" w:hanging="0"/>
        <w:rPr/>
      </w:pPr>
      <w:bookmarkStart w:id="0" w:name="_Hlk114497577"/>
      <w:bookmarkStart w:id="1" w:name="_Hlk114497502"/>
      <w:bookmarkEnd w:id="0"/>
      <w:bookmarkEnd w:id="1"/>
      <w:r>
        <w:rPr/>
        <w:t>CLÁUSULA TERCEIRA – MODELOS DE EXECUÇÃO E GESTÃO CONTRATUAIS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IV, VII e XVIII)</w:t>
      </w:r>
      <w:r>
        <w:rPr>
          <w:rStyle w:val="LinkdaInternet"/>
        </w:rPr>
        <w:fldChar w:fldCharType="end"/>
      </w:r>
    </w:p>
    <w:p>
      <w:pPr>
        <w:pStyle w:val="Nivel2"/>
        <w:numPr>
          <w:ilvl w:val="1"/>
          <w:numId w:val="1"/>
        </w:numPr>
        <w:ind w:left="0" w:hanging="0"/>
        <w:rPr/>
      </w:pPr>
      <w:r>
        <w:rPr/>
        <w:t>O regime de execução contratual, os modelos de gestão e de execução, assim como os prazos e condições de conclusão, entrega, observação e recebimento do objeto constam no Termo de Referência, anexo a este Contrato.</w:t>
      </w:r>
    </w:p>
    <w:p>
      <w:pPr>
        <w:pStyle w:val="Nivel01"/>
        <w:numPr>
          <w:ilvl w:val="0"/>
          <w:numId w:val="1"/>
        </w:numPr>
        <w:ind w:left="0" w:hanging="0"/>
        <w:rPr>
          <w:color w:val="FFFFFF" w:themeColor="background1"/>
        </w:rPr>
      </w:pPr>
      <w:r>
        <w:rPr/>
        <w:t xml:space="preserve">CLÁUSULA QUARTA – SUBCONTRATAÇÃO </w:t>
      </w:r>
    </w:p>
    <w:p>
      <w:pPr>
        <w:pStyle w:val="Nvel2Red"/>
        <w:numPr>
          <w:ilvl w:val="0"/>
          <w:numId w:val="1"/>
        </w:numPr>
        <w:rPr/>
      </w:pPr>
      <w:r>
        <w:rPr/>
        <w:t>Não será admitida a subcontratação do objeto contratual.</w:t>
      </w:r>
    </w:p>
    <w:p>
      <w:pPr>
        <w:pStyle w:val="Nivel01"/>
        <w:numPr>
          <w:ilvl w:val="0"/>
          <w:numId w:val="1"/>
        </w:numPr>
        <w:ind w:left="0" w:hanging="0"/>
        <w:rPr>
          <w:color w:val="FFFFFF" w:themeColor="background1"/>
        </w:rPr>
      </w:pPr>
      <w:r>
        <w:rPr/>
        <w:t>CLÁUSULA QUINTA - PREÇO</w:t>
      </w:r>
    </w:p>
    <w:p>
      <w:pPr>
        <w:pStyle w:val="Nivel2"/>
        <w:numPr>
          <w:ilvl w:val="1"/>
          <w:numId w:val="1"/>
        </w:numPr>
        <w:ind w:left="0" w:hanging="0"/>
        <w:rPr/>
      </w:pPr>
      <w:r>
        <w:rPr>
          <w:lang w:eastAsia="en-US"/>
        </w:rPr>
        <w:t xml:space="preserve">O valor mensal da </w:t>
      </w:r>
      <w:r>
        <w:rPr/>
        <w:t>contratação</w:t>
      </w:r>
      <w:r>
        <w:rPr>
          <w:lang w:eastAsia="en-US"/>
        </w:rPr>
        <w:t xml:space="preserve"> é de R$</w:t>
      </w:r>
      <w:r>
        <w:rPr>
          <w:i/>
          <w:lang w:eastAsia="en-US"/>
        </w:rPr>
        <w:t xml:space="preserve"> </w:t>
      </w:r>
      <w:r>
        <w:rPr>
          <w:i/>
          <w:color w:val="FF0000"/>
          <w:lang w:eastAsia="en-US"/>
        </w:rPr>
        <w:t xml:space="preserve">.......... (.....), </w:t>
      </w:r>
      <w:r>
        <w:rPr>
          <w:lang w:eastAsia="en-US"/>
        </w:rPr>
        <w:t>perfazendo o valor total de R$</w:t>
      </w:r>
      <w:r>
        <w:rPr>
          <w:i/>
          <w:color w:val="FF0000"/>
          <w:lang w:eastAsia="en-US"/>
        </w:rPr>
        <w:t xml:space="preserve"> ....... (....).</w:t>
      </w:r>
    </w:p>
    <w:p>
      <w:pPr>
        <w:pStyle w:val="Nivel2"/>
        <w:numPr>
          <w:ilvl w:val="1"/>
          <w:numId w:val="1"/>
        </w:numPr>
        <w:ind w:left="0" w:hanging="0"/>
        <w:rPr/>
      </w:pPr>
      <w:r>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vel2Red"/>
        <w:widowControl/>
        <w:numPr>
          <w:ilvl w:val="1"/>
          <w:numId w:val="1"/>
        </w:numPr>
        <w:bidi w:val="0"/>
        <w:spacing w:lineRule="auto" w:line="276" w:before="120" w:after="120"/>
        <w:ind w:left="567" w:right="0" w:hanging="454"/>
        <w:jc w:val="both"/>
        <w:rPr/>
      </w:pPr>
      <w:commentRangeStart w:id="3"/>
      <w:r>
        <w:rPr/>
        <w:t>O valor acima é meramente estimativo, de forma que os pagamentos devidos ao contratado dependerão dos quantitativos efetivamente fornecidos.</w:t>
      </w:r>
      <w:commentRangeEnd w:id="3"/>
      <w:r>
        <w:commentReference w:id="3"/>
      </w:r>
      <w:r>
        <w:rPr/>
      </w:r>
    </w:p>
    <w:p>
      <w:pPr>
        <w:pStyle w:val="Nivel01"/>
        <w:numPr>
          <w:ilvl w:val="0"/>
          <w:numId w:val="1"/>
        </w:numPr>
        <w:ind w:left="0" w:hanging="0"/>
        <w:rPr/>
      </w:pPr>
      <w:r>
        <w:rPr/>
        <w:t>CLÁUSULA SEXTA - PAGAMENTO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V e VI</w:t>
      </w:r>
      <w:r>
        <w:rPr>
          <w:rStyle w:val="LinkdaInternet"/>
        </w:rPr>
        <w:fldChar w:fldCharType="end"/>
      </w:r>
      <w:r>
        <w:rPr/>
        <w:t>)</w:t>
      </w:r>
    </w:p>
    <w:p>
      <w:pPr>
        <w:pStyle w:val="Nivel2"/>
        <w:numPr>
          <w:ilvl w:val="1"/>
          <w:numId w:val="1"/>
        </w:numPr>
        <w:ind w:left="0" w:hanging="0"/>
        <w:rPr/>
      </w:pPr>
      <w:r>
        <w:rPr/>
        <w:t xml:space="preserve">O prazo para pagamento </w:t>
      </w:r>
      <w:r>
        <w:rPr>
          <w:color w:val="auto"/>
          <w:lang w:eastAsia="en-US"/>
        </w:rPr>
        <w:t>ao contratado</w:t>
      </w:r>
      <w:r>
        <w:rPr/>
        <w:t xml:space="preserve"> e demais condições a ele referentes, inclusive quanto à utilização da Conta-Depósito Vinculada - bloqueada para movimentação ou do </w:t>
      </w:r>
      <w:r>
        <w:rPr>
          <w:color w:val="auto"/>
        </w:rPr>
        <w:t>Pagamento pelo Fato Gerador</w:t>
      </w:r>
      <w:r>
        <w:rPr/>
        <w:t>, encontram-se definidos no Termo de Referência, anexo a este Contrato.</w:t>
      </w:r>
    </w:p>
    <w:p>
      <w:pPr>
        <w:pStyle w:val="Nivel01"/>
        <w:numPr>
          <w:ilvl w:val="0"/>
          <w:numId w:val="1"/>
        </w:numPr>
        <w:ind w:left="0" w:hanging="0"/>
        <w:rPr>
          <w:color w:val="FFFFFF" w:themeColor="background1"/>
        </w:rPr>
      </w:pPr>
      <w:r>
        <w:rPr/>
        <w:t>CLÁUSULA SÉTIMA - REPACTUAÇÃO DOS PREÇOS CONTRATADOS (art. 92, V e X)</w:t>
      </w:r>
    </w:p>
    <w:p>
      <w:pPr>
        <w:pStyle w:val="Nivel2"/>
        <w:numPr>
          <w:ilvl w:val="1"/>
          <w:numId w:val="1"/>
        </w:numPr>
        <w:ind w:left="0" w:hanging="0"/>
        <w:rPr/>
      </w:pPr>
      <w:r>
        <w:rPr/>
        <w:t>Os preços contratados serão repactuados para manutenção do equilíbrio econômico-financeiro, após o interregno de um ano, mediante solicitação do contratado.</w:t>
      </w:r>
    </w:p>
    <w:p>
      <w:pPr>
        <w:pStyle w:val="Nivel2"/>
        <w:numPr>
          <w:ilvl w:val="1"/>
          <w:numId w:val="1"/>
        </w:numPr>
        <w:ind w:left="0" w:hanging="0"/>
        <w:rPr/>
      </w:pPr>
      <w:r>
        <w:rPr/>
        <w:t xml:space="preserve">O interregno mínimo de 1 (um) ano para a primeira repactuação será </w:t>
      </w:r>
      <w:commentRangeStart w:id="4"/>
      <w:r>
        <w:rPr/>
        <w:t>contado</w:t>
      </w:r>
      <w:r>
        <w:rPr/>
      </w:r>
      <w:commentRangeEnd w:id="4"/>
      <w:r>
        <w:commentReference w:id="4"/>
      </w:r>
      <w:r>
        <w:rPr/>
        <w:t>:</w:t>
      </w:r>
    </w:p>
    <w:p>
      <w:pPr>
        <w:pStyle w:val="Normal"/>
        <w:numPr>
          <w:ilvl w:val="0"/>
          <w:numId w:val="6"/>
        </w:numPr>
        <w:spacing w:lineRule="auto" w:line="276" w:before="120" w:after="120"/>
        <w:ind w:left="284" w:hanging="0"/>
        <w:contextualSpacing/>
        <w:jc w:val="both"/>
        <w:rPr>
          <w:rFonts w:ascii="Arial" w:hAnsi="Arial" w:eastAsia="Times New Roman" w:cs="Arial"/>
          <w:sz w:val="20"/>
          <w:szCs w:val="20"/>
        </w:rPr>
      </w:pPr>
      <w:r>
        <w:rPr>
          <w:rFonts w:eastAsia="Times New Roman" w:cs="Arial" w:ascii="Arial" w:hAnsi="Arial"/>
          <w:sz w:val="20"/>
          <w:szCs w:val="20"/>
        </w:rPr>
        <w:t xml:space="preserve">Para os custos relativos à mão de obra, vinculados à data-base da categoria profissional: a partir da data de início dos efeitos financeiros do acordo, convenção ou dissídio coletivo de trabalho </w:t>
      </w:r>
      <w:r>
        <w:rPr>
          <w:rFonts w:eastAsia="Times New Roman" w:cs="Arial" w:ascii="Arial" w:hAnsi="Arial"/>
          <w:color w:val="000000"/>
          <w:sz w:val="20"/>
          <w:szCs w:val="20"/>
        </w:rPr>
        <w:t>ao qual a proposta estiver vinculada</w:t>
      </w:r>
      <w:r>
        <w:rPr>
          <w:rFonts w:eastAsia="Times New Roman" w:cs="Arial" w:ascii="Arial" w:hAnsi="Arial"/>
          <w:sz w:val="20"/>
          <w:szCs w:val="20"/>
        </w:rPr>
        <w:t xml:space="preserve">, relativo a cada categoria profissional abrangida pelo contrato; </w:t>
      </w:r>
    </w:p>
    <w:p>
      <w:pPr>
        <w:pStyle w:val="Normal"/>
        <w:numPr>
          <w:ilvl w:val="0"/>
          <w:numId w:val="6"/>
        </w:numPr>
        <w:spacing w:lineRule="auto" w:line="276" w:before="120" w:after="120"/>
        <w:ind w:left="284" w:hanging="0"/>
        <w:contextualSpacing/>
        <w:jc w:val="both"/>
        <w:rPr>
          <w:rFonts w:ascii="Arial" w:hAnsi="Arial" w:eastAsia="Times New Roman" w:cs="Arial"/>
          <w:sz w:val="20"/>
          <w:szCs w:val="20"/>
        </w:rPr>
      </w:pPr>
      <w:r>
        <w:rPr>
          <w:rFonts w:eastAsia="Times New Roman" w:cs="Arial" w:ascii="Arial" w:hAnsi="Arial"/>
          <w:sz w:val="20"/>
          <w:szCs w:val="20"/>
        </w:rPr>
        <w:t>Para</w:t>
      </w:r>
      <w:r>
        <w:rPr>
          <w:rFonts w:eastAsia="Times New Roman" w:cs="Arial" w:ascii="Arial" w:hAnsi="Arial"/>
          <w:color w:val="000000"/>
          <w:sz w:val="20"/>
          <w:szCs w:val="20"/>
        </w:rPr>
        <w:t> os custos decorrentes do mercado</w:t>
      </w:r>
      <w:r>
        <w:rPr>
          <w:rFonts w:eastAsia="Times New Roman" w:cs="Arial" w:ascii="Arial" w:hAnsi="Arial"/>
          <w:sz w:val="20"/>
          <w:szCs w:val="20"/>
        </w:rPr>
        <w:t>: a partir da apresentação da proposta.</w:t>
      </w:r>
    </w:p>
    <w:p>
      <w:pPr>
        <w:pStyle w:val="Nivel2"/>
        <w:numPr>
          <w:ilvl w:val="1"/>
          <w:numId w:val="1"/>
        </w:numPr>
        <w:ind w:left="0" w:hanging="0"/>
        <w:rPr/>
      </w:pPr>
      <w:r>
        <w:rPr/>
        <w:t>Nas repactuações subsequentes à primeira, o interregno mínimo de 1 (um) ano será contado a partir da data da última repactuação correspondente à mesma parcela objeto da nova solicitação.</w:t>
      </w:r>
    </w:p>
    <w:p>
      <w:pPr>
        <w:pStyle w:val="Nivel3"/>
        <w:numPr>
          <w:ilvl w:val="2"/>
          <w:numId w:val="1"/>
        </w:numPr>
        <w:ind w:left="284" w:hanging="0"/>
        <w:rPr/>
      </w:pPr>
      <w:r>
        <w:rPr/>
        <w:t>Entende-se como última repactuação a data em que iniciados seus efeitos financeiros, independentemente daquela apostilada.</w:t>
      </w:r>
    </w:p>
    <w:p>
      <w:pPr>
        <w:pStyle w:val="Nivel2"/>
        <w:numPr>
          <w:ilvl w:val="1"/>
          <w:numId w:val="1"/>
        </w:numPr>
        <w:ind w:left="0" w:hanging="0"/>
        <w:rPr>
          <w:lang w:eastAsia="en-US"/>
        </w:rPr>
      </w:pPr>
      <w:r>
        <w:rPr>
          <w:lang w:eastAsia="en-US"/>
        </w:rPr>
        <w:t xml:space="preserve">A repactuação poderá ser dividida em tantas parcelas quantas forem necessárias, </w:t>
      </w:r>
      <w:r>
        <w:rPr>
          <w:rFonts w:eastAsia="Times New Roman"/>
        </w:rPr>
        <w:t>observado</w:t>
      </w:r>
      <w:r>
        <w:rPr>
          <w:lang w:eastAsia="en-US"/>
        </w:rPr>
        <w:t xml:space="preserve"> o princípio da anualidade do reajuste de preços da contratação, podendo ser </w:t>
      </w:r>
      <w:r>
        <w:rPr>
          <w:rFonts w:eastAsia="Times New Roman"/>
        </w:rPr>
        <w:t>realizada</w:t>
      </w:r>
      <w:r>
        <w:rPr>
          <w:lang w:eastAsia="en-US"/>
        </w:rPr>
        <w:t xml:space="preserve"> em momentos distintos para discutir a variação de custos que tenham sua anualidade </w:t>
      </w:r>
      <w:r>
        <w:rPr>
          <w:rFonts w:eastAsia="Times New Roman"/>
        </w:rPr>
        <w:t>resultante</w:t>
      </w:r>
      <w:r>
        <w:rPr>
          <w:lang w:eastAsia="en-US"/>
        </w:rPr>
        <w:t xml:space="preserve"> em datas diferenciadas, como os decorrentes de mão de </w:t>
      </w:r>
      <w:r>
        <w:rPr/>
        <w:t>obra</w:t>
      </w:r>
      <w:r>
        <w:rPr>
          <w:lang w:eastAsia="en-US"/>
        </w:rPr>
        <w:t xml:space="preserve"> e os decorrentes dos insumos necessários à execução dos serviços.</w:t>
      </w:r>
      <w:r>
        <w:rPr>
          <w:rFonts w:eastAsia="Times New Roman"/>
        </w:rPr>
        <w:t xml:space="preserve"> (art. 135, § 4º, da Lei n.º 14.133/2021)</w:t>
      </w:r>
      <w:r>
        <w:rPr>
          <w:lang w:eastAsia="en-US"/>
        </w:rPr>
        <w:t xml:space="preserve">. </w:t>
      </w:r>
    </w:p>
    <w:p>
      <w:pPr>
        <w:pStyle w:val="Nivel2"/>
        <w:numPr>
          <w:ilvl w:val="1"/>
          <w:numId w:val="1"/>
        </w:numPr>
        <w:ind w:left="0" w:hanging="0"/>
        <w:rPr/>
      </w:pPr>
      <w:r>
        <w:rPr/>
        <w:t>Quando a contratação envolver mais de uma categoria profissional, a repactuação dos custos contratuais decorrentes da mão de obra poderá ser dividida em tantos quantos forem os acordos, convenções ou dissídios coletivos de trabalho das respectivas categorias. (art. 135, § 5º, da Lei n.º 14.133/2021)</w:t>
      </w:r>
    </w:p>
    <w:p>
      <w:pPr>
        <w:pStyle w:val="Nivel2"/>
        <w:numPr>
          <w:ilvl w:val="1"/>
          <w:numId w:val="1"/>
        </w:numPr>
        <w:ind w:left="0" w:hanging="0"/>
        <w:rPr/>
      </w:pPr>
      <w:r>
        <w:rPr/>
        <w:t xml:space="preserve">É vedada a inclusão, por ocasião da repactuação, de benefícios não previstos na proposta inicial, exceto quando se tornarem obrigatórios por força de lei, acordo, convenção ou dissídio coletivo de trabalho.  </w:t>
      </w:r>
    </w:p>
    <w:p>
      <w:pPr>
        <w:pStyle w:val="Nivel2"/>
        <w:numPr>
          <w:ilvl w:val="1"/>
          <w:numId w:val="1"/>
        </w:numPr>
        <w:ind w:left="0" w:hanging="0"/>
        <w:rPr/>
      </w:pPr>
      <w:r>
        <w:rPr/>
        <w:t>Na repactuação, o contratante não se vinculará às disposições contidas em acordos, convenções ou dissídios coletivos de trabalho que tratem de obrigações e direitos que somente se aplicam aos contratos com a Administração Pública, de matéria não trabalhista, de pagamento de participação dos trabalhadores nos lucros ou resultados do contratado, ou que estabeleçam direitos não previstos em lei, como valores ou índices obrigatórios de encargos sociais ou previdenciários, bem como de preços para os insumos relacionados ao exercício da atividade.(art. 135, §§ 1º e 2º, da Lei n.º 14.133/2021)</w:t>
      </w:r>
    </w:p>
    <w:p>
      <w:pPr>
        <w:pStyle w:val="Nivel2"/>
        <w:numPr>
          <w:ilvl w:val="1"/>
          <w:numId w:val="1"/>
        </w:numPr>
        <w:ind w:left="0" w:hanging="0"/>
        <w:rPr>
          <w:rFonts w:eastAsia="MS Mincho"/>
        </w:rPr>
      </w:pPr>
      <w:r>
        <w:rPr/>
        <w:t>Quando a repactuação solicitada se referir aos custos da mão de obra, o contratado efetuará a comprovação da variação dos custos por meio de Planilha de Custos e Formação de Preços, acompanhada da apresentação do novo acordo, convenção ou sentença normativa da categoria profissional abrangida pelo contrato.</w:t>
      </w:r>
    </w:p>
    <w:p>
      <w:pPr>
        <w:pStyle w:val="Nivel3"/>
        <w:numPr>
          <w:ilvl w:val="2"/>
          <w:numId w:val="1"/>
        </w:numPr>
        <w:ind w:left="284" w:hanging="0"/>
        <w:rPr/>
      </w:pPr>
      <w:r>
        <w:rPr/>
        <w:t>A repactuação para reajustamento do contrato em razão de novo Acordo, Convenção ou Dissídio Coletivo de Trabalho deve repassar integralmente o aumento de custos da mão de obra decorrente desses instrumentos.</w:t>
      </w:r>
    </w:p>
    <w:p>
      <w:pPr>
        <w:pStyle w:val="Nivel2"/>
        <w:numPr>
          <w:ilvl w:val="1"/>
          <w:numId w:val="1"/>
        </w:numPr>
        <w:ind w:left="0" w:hanging="0"/>
        <w:rPr/>
      </w:pPr>
      <w:r>
        <w:rPr/>
        <w:t xml:space="preserve">Quando a repactuação solicitada pelo contratado se referir aos custos decorrentes do mercado, o respectivo aumento será apurado mediante a aplicação do índice de reajustamento </w:t>
      </w:r>
      <w:r>
        <w:rPr>
          <w:rStyle w:val="Nfase"/>
          <w:b w:val="false"/>
          <w:color w:val="FF0000"/>
          <w:spacing w:val="0"/>
          <w:sz w:val="20"/>
          <w:szCs w:val="20"/>
        </w:rPr>
        <w:t>IPCA/IBGE</w:t>
      </w:r>
      <w:r>
        <w:rPr>
          <w:i/>
          <w:iCs/>
          <w:color w:val="FF0000"/>
          <w:sz w:val="20"/>
          <w:szCs w:val="20"/>
        </w:rPr>
        <w:t xml:space="preserve"> ,</w:t>
      </w:r>
      <w:r>
        <w:rPr>
          <w:color w:val="FF0000"/>
        </w:rPr>
        <w:t xml:space="preserve"> </w:t>
      </w:r>
      <w:r>
        <w:rPr/>
        <w:t xml:space="preserve">com base na seguinte </w:t>
      </w:r>
      <w:commentRangeStart w:id="5"/>
      <w:r>
        <w:rPr/>
        <w:t>fórmula</w:t>
      </w:r>
      <w:r>
        <w:rPr/>
      </w:r>
      <w:commentRangeEnd w:id="5"/>
      <w:r>
        <w:commentReference w:id="5"/>
      </w:r>
      <w:r>
        <w:rPr/>
        <w:t xml:space="preserve">: </w:t>
      </w:r>
    </w:p>
    <w:p>
      <w:pPr>
        <w:pStyle w:val="Normal"/>
        <w:spacing w:lineRule="auto" w:line="276" w:before="120" w:after="120"/>
        <w:ind w:left="851" w:hanging="0"/>
        <w:jc w:val="both"/>
        <w:rPr>
          <w:rFonts w:ascii="Arial" w:hAnsi="Arial" w:eastAsia="Calibri" w:cs="Arial"/>
          <w:sz w:val="20"/>
          <w:szCs w:val="20"/>
          <w:lang w:eastAsia="en-US"/>
        </w:rPr>
      </w:pPr>
      <w:r>
        <w:rPr>
          <w:rFonts w:eastAsia="Calibri" w:cs="Arial" w:ascii="Arial" w:hAnsi="Arial"/>
          <w:sz w:val="20"/>
          <w:szCs w:val="20"/>
          <w:lang w:eastAsia="en-US"/>
        </w:rPr>
        <w:t>R = V (I – Iº) / Iº, onde:</w:t>
      </w:r>
    </w:p>
    <w:p>
      <w:pPr>
        <w:pStyle w:val="Normal"/>
        <w:spacing w:lineRule="auto" w:line="276" w:before="120" w:after="120"/>
        <w:ind w:left="851" w:hanging="0"/>
        <w:jc w:val="both"/>
        <w:rPr>
          <w:rFonts w:ascii="Arial" w:hAnsi="Arial" w:eastAsia="Calibri" w:cs="Arial"/>
          <w:sz w:val="20"/>
          <w:szCs w:val="20"/>
          <w:lang w:eastAsia="en-US"/>
        </w:rPr>
      </w:pPr>
      <w:r>
        <w:rPr>
          <w:rFonts w:eastAsia="Calibri" w:cs="Arial" w:ascii="Arial" w:hAnsi="Arial"/>
          <w:sz w:val="20"/>
          <w:szCs w:val="20"/>
          <w:lang w:eastAsia="en-US"/>
        </w:rPr>
        <w:t>R = Valor do reajustamento procurado;</w:t>
      </w:r>
    </w:p>
    <w:p>
      <w:pPr>
        <w:pStyle w:val="Normal"/>
        <w:spacing w:lineRule="auto" w:line="276" w:before="120" w:after="120"/>
        <w:ind w:left="851" w:hanging="0"/>
        <w:jc w:val="both"/>
        <w:rPr>
          <w:rFonts w:ascii="Arial" w:hAnsi="Arial" w:eastAsia="Calibri" w:cs="Arial"/>
          <w:sz w:val="20"/>
          <w:szCs w:val="20"/>
          <w:lang w:eastAsia="en-US"/>
        </w:rPr>
      </w:pPr>
      <w:r>
        <w:rPr>
          <w:rFonts w:eastAsia="Calibri" w:cs="Arial" w:ascii="Arial" w:hAnsi="Arial"/>
          <w:sz w:val="20"/>
          <w:szCs w:val="20"/>
          <w:lang w:eastAsia="en-US"/>
        </w:rPr>
        <w:t xml:space="preserve">V = Valor contratual correspondente à parcela dos </w:t>
      </w:r>
      <w:r>
        <w:rPr>
          <w:rFonts w:eastAsia="Times New Roman" w:cs="Arial" w:ascii="Arial" w:hAnsi="Arial"/>
          <w:sz w:val="20"/>
          <w:szCs w:val="20"/>
        </w:rPr>
        <w:t>custos decorrentes do mercado</w:t>
      </w:r>
      <w:r>
        <w:rPr>
          <w:rFonts w:eastAsia="Calibri" w:cs="Arial" w:ascii="Arial" w:hAnsi="Arial"/>
          <w:sz w:val="20"/>
          <w:szCs w:val="20"/>
          <w:lang w:eastAsia="en-US"/>
        </w:rPr>
        <w:t xml:space="preserve"> a ser reajustada;</w:t>
      </w:r>
    </w:p>
    <w:p>
      <w:pPr>
        <w:pStyle w:val="Normal"/>
        <w:spacing w:lineRule="auto" w:line="276" w:before="120" w:after="120"/>
        <w:ind w:left="851" w:hanging="0"/>
        <w:jc w:val="both"/>
        <w:rPr>
          <w:rFonts w:ascii="Arial" w:hAnsi="Arial" w:eastAsia="Calibri" w:cs="Arial"/>
          <w:sz w:val="20"/>
          <w:szCs w:val="20"/>
          <w:lang w:eastAsia="en-US"/>
        </w:rPr>
      </w:pPr>
      <w:r>
        <w:rPr>
          <w:rFonts w:eastAsia="Calibri" w:cs="Arial" w:ascii="Arial" w:hAnsi="Arial"/>
          <w:sz w:val="20"/>
          <w:szCs w:val="20"/>
          <w:shd w:fill="FFFFFF" w:val="clear"/>
          <w:lang w:eastAsia="en-US"/>
        </w:rPr>
        <w:t>Iº = índice inicial - refere-se ao índice de custos ou de preços correspondente à data de apresentação da proposta;</w:t>
      </w:r>
    </w:p>
    <w:p>
      <w:pPr>
        <w:pStyle w:val="Normal"/>
        <w:spacing w:lineRule="auto" w:line="276" w:before="120" w:after="120"/>
        <w:ind w:left="851" w:hanging="0"/>
        <w:jc w:val="both"/>
        <w:rPr>
          <w:rFonts w:ascii="Arial" w:hAnsi="Arial" w:eastAsia="Calibri" w:cs="Arial"/>
          <w:sz w:val="20"/>
          <w:szCs w:val="20"/>
          <w:highlight w:val="white"/>
          <w:lang w:eastAsia="en-US"/>
        </w:rPr>
      </w:pPr>
      <w:r>
        <w:rPr>
          <w:rFonts w:eastAsia="Calibri" w:cs="Arial" w:ascii="Arial" w:hAnsi="Arial"/>
          <w:sz w:val="20"/>
          <w:szCs w:val="20"/>
          <w:shd w:fill="FFFFFF" w:val="clear"/>
          <w:lang w:eastAsia="en-US"/>
        </w:rPr>
        <w:t>I = Índice relativo ao mês do reajustamento</w:t>
      </w:r>
    </w:p>
    <w:p>
      <w:pPr>
        <w:pStyle w:val="Nivel2"/>
        <w:numPr>
          <w:ilvl w:val="1"/>
          <w:numId w:val="1"/>
        </w:numPr>
        <w:ind w:left="0" w:hanging="0"/>
        <w:rPr/>
      </w:pPr>
      <w:r>
        <w:rPr/>
        <w:t>No caso de atraso ou não divulgação do índice de reajustamento, o contratante pagará ao contratado a importância calculada pela última variação conhecida, liquidando a diferença correspondente tão logo seja divulgado o índice definitivo; fica o contratado obrigado a apresentar memória de cálculo referente ao reajustamento de preços do valor remanescente, sempre que este ocorrer.</w:t>
      </w:r>
    </w:p>
    <w:p>
      <w:pPr>
        <w:pStyle w:val="Nivel2"/>
        <w:numPr>
          <w:ilvl w:val="1"/>
          <w:numId w:val="1"/>
        </w:numPr>
        <w:ind w:left="0" w:hanging="0"/>
        <w:rPr/>
      </w:pPr>
      <w:r>
        <w:rPr/>
        <w:t xml:space="preserve">Nas aferições finais, o índice utilizado para a repactuação dos custos decorrentes do mercado será, obrigatoriamente, o definitivo. </w:t>
      </w:r>
    </w:p>
    <w:p>
      <w:pPr>
        <w:pStyle w:val="Nivel2"/>
        <w:numPr>
          <w:ilvl w:val="1"/>
          <w:numId w:val="1"/>
        </w:numPr>
        <w:ind w:left="0" w:hanging="0"/>
        <w:rPr/>
      </w:pPr>
      <w:r>
        <w:rPr/>
        <w:t xml:space="preserve">Caso o índice estabelecido venha a ser extinto ou de qualquer forma não possa mais ser utilizado, será adotado, em substituição, o que vier a ser determinado pela legislação então em vigor. </w:t>
      </w:r>
    </w:p>
    <w:p>
      <w:pPr>
        <w:pStyle w:val="Nivel2"/>
        <w:numPr>
          <w:ilvl w:val="1"/>
          <w:numId w:val="1"/>
        </w:numPr>
        <w:ind w:left="0" w:hanging="0"/>
        <w:rPr/>
      </w:pPr>
      <w:r>
        <w:rPr/>
        <w:t>Na ausência de previsão legal quanto ao índice substituto, as partes elegerão novo índice oficial, para reajustamento do preço do valor remanescente dos custos decorrentes do mercado, por meio de termo aditivo.</w:t>
      </w:r>
    </w:p>
    <w:p>
      <w:pPr>
        <w:pStyle w:val="Nivel2"/>
        <w:numPr>
          <w:ilvl w:val="1"/>
          <w:numId w:val="1"/>
        </w:numPr>
        <w:ind w:left="0" w:hanging="0"/>
        <w:rPr/>
      </w:pPr>
      <w:r>
        <w:rPr/>
        <w:t>Independentemente do requerimento de repactuação dos custos decorrentes do mercado, o contratante verificará, a cada anualidade, se houve deflação do índice adotado que justifique o recálculo dos custos em valor menor, promovendo, em caso positivo, a redução dos valores correspondentes da planilha contratual.</w:t>
      </w:r>
    </w:p>
    <w:p>
      <w:pPr>
        <w:pStyle w:val="Nivel2"/>
        <w:numPr>
          <w:ilvl w:val="1"/>
          <w:numId w:val="1"/>
        </w:numPr>
        <w:ind w:left="0" w:hanging="0"/>
        <w:rPr/>
      </w:pPr>
      <w:r>
        <w:rPr/>
        <w:t>Os efeitos financeiros da repactuação decorrente da variação dos custos contratuais de mão de obra vinculados aos acordos, às convenções ou aos dissídios coletivos de trabalho retroagirão, quando for o caso, à data do início dos efeitos financeiros do novo acordo, convenção ou sentença normativa que fundamenta a repactuação.</w:t>
      </w:r>
    </w:p>
    <w:p>
      <w:pPr>
        <w:pStyle w:val="Nivel2"/>
        <w:numPr>
          <w:ilvl w:val="1"/>
          <w:numId w:val="1"/>
        </w:numPr>
        <w:ind w:left="0" w:hanging="0"/>
        <w:rPr/>
      </w:pPr>
      <w:r>
        <w:rPr/>
        <w:t>Os novos valores contratuais decorrentes das repactuações poderão se iniciar em data futura, desde que assim acordado entre as partes, sem prejuízo da contagem da anualidade para concessão das repactuações futuras.</w:t>
      </w:r>
    </w:p>
    <w:p>
      <w:pPr>
        <w:pStyle w:val="Nivel2"/>
        <w:numPr>
          <w:ilvl w:val="1"/>
          <w:numId w:val="1"/>
        </w:numPr>
        <w:ind w:left="0" w:hanging="0"/>
        <w:rPr/>
      </w:pPr>
      <w:r>
        <w:rPr/>
        <w:t>Os efeitos financeiros da repactuação ficarão restritos exclusivamente aos itens que a motivaram, e apenas em relação à diferença porventura existente.</w:t>
      </w:r>
    </w:p>
    <w:p>
      <w:pPr>
        <w:pStyle w:val="Nivel2"/>
        <w:numPr>
          <w:ilvl w:val="1"/>
          <w:numId w:val="1"/>
        </w:numPr>
        <w:ind w:left="0" w:hanging="0"/>
        <w:rPr/>
      </w:pPr>
      <w:r>
        <w:rPr/>
        <w:t>O pedido de repactuação deverá ser formulado durante a vigência do contrato e antes de eventual prorrogação ou encerramento contratual, sob pena de preclusão.</w:t>
      </w:r>
    </w:p>
    <w:p>
      <w:pPr>
        <w:pStyle w:val="Nivel2"/>
        <w:numPr>
          <w:ilvl w:val="1"/>
          <w:numId w:val="1"/>
        </w:numPr>
        <w:ind w:left="0" w:hanging="0"/>
        <w:rPr/>
      </w:pPr>
      <w:r>
        <w:rPr/>
        <w:t>Caso, na data da prorrogação contratual, ainda não tenha sido celebrado o novo acordo, convenção ou dissídio coletivo da categoria, ou ainda não tenha sido possível ao contratante ou ao contratado proceder aos cálculos devidos, deverá ser inserida cláusula no termo aditivo de prorrogação para resguardar o direito futuro à repactuação, a ser exercido tão logo se disponha dos valores reajustados, sob pena de preclusão.</w:t>
      </w:r>
    </w:p>
    <w:p>
      <w:pPr>
        <w:pStyle w:val="Nivel2"/>
        <w:numPr>
          <w:ilvl w:val="1"/>
          <w:numId w:val="1"/>
        </w:numPr>
        <w:ind w:left="0" w:hanging="0"/>
        <w:rPr/>
      </w:pPr>
      <w:r>
        <w:rPr/>
        <w:t>A extinção do contrato não configurará óbice para o deferimento da repactuação solicitada tempestivamente, hipótese em que será concedida por meio de termo indenizatório.</w:t>
      </w:r>
    </w:p>
    <w:p>
      <w:pPr>
        <w:pStyle w:val="Nivel2"/>
        <w:numPr>
          <w:ilvl w:val="1"/>
          <w:numId w:val="1"/>
        </w:numPr>
        <w:ind w:left="0" w:hanging="0"/>
        <w:rPr/>
      </w:pPr>
      <w:r>
        <w:rPr/>
        <w:t xml:space="preserve">O contratante decidirá sobre o pedido de repactuação de preços em até </w:t>
      </w:r>
      <w:r>
        <w:rPr>
          <w:i/>
          <w:iCs/>
          <w:color w:val="FF0000"/>
        </w:rPr>
        <w:t>30 (trinta) dias</w:t>
      </w:r>
      <w:r>
        <w:rPr>
          <w:color w:val="FF0000"/>
        </w:rPr>
        <w:t xml:space="preserve"> </w:t>
      </w:r>
      <w:r>
        <w:rPr/>
        <w:t xml:space="preserve">contado da data do fornecimento, pelo contratado, da documentação comprobatória da variação dos custos a serem repactuados. (art. 92, § 6º, c/c o art. 135, § </w:t>
      </w:r>
      <w:commentRangeStart w:id="6"/>
      <w:r>
        <w:rPr/>
        <w:t>6</w:t>
      </w:r>
      <w:r>
        <w:rPr/>
      </w:r>
      <w:commentRangeEnd w:id="6"/>
      <w:r>
        <w:commentReference w:id="6"/>
      </w:r>
      <w:r>
        <w:rPr/>
        <w:t xml:space="preserve">º)  </w:t>
      </w:r>
    </w:p>
    <w:p>
      <w:pPr>
        <w:pStyle w:val="Nivel2"/>
        <w:numPr>
          <w:ilvl w:val="1"/>
          <w:numId w:val="1"/>
        </w:numPr>
        <w:ind w:left="0" w:hanging="0"/>
        <w:rPr/>
      </w:pPr>
      <w:r>
        <w:rPr/>
        <w:t>O prazo referido no subitem anterior ficará suspenso enquanto o contratado não cumprir os atos ou apresentar a documentação solicitada pelo contratante para a comprovação da variação dos custos.</w:t>
      </w:r>
    </w:p>
    <w:p>
      <w:pPr>
        <w:pStyle w:val="Nivel2"/>
        <w:numPr>
          <w:ilvl w:val="1"/>
          <w:numId w:val="1"/>
        </w:numPr>
        <w:ind w:left="0" w:hanging="0"/>
        <w:rPr/>
      </w:pPr>
      <w:r>
        <w:rPr/>
        <w:t xml:space="preserve">A repactuação de preços será formalizada por apostilamento. </w:t>
      </w:r>
    </w:p>
    <w:p>
      <w:pPr>
        <w:pStyle w:val="Nivel2"/>
        <w:numPr>
          <w:ilvl w:val="1"/>
          <w:numId w:val="1"/>
        </w:numPr>
        <w:ind w:left="0" w:hanging="0"/>
        <w:rPr/>
      </w:pPr>
      <w:r>
        <w:rPr/>
        <w:t>As repactuações não interferem no direito das partes de solicitar, a qualquer momento, a manutenção do equilíbrio econômico dos contratos com base no disposto no art. 124, inciso II, alínea “d”, da Lei nº 14.133, de 2021.</w:t>
      </w:r>
    </w:p>
    <w:p>
      <w:pPr>
        <w:pStyle w:val="Nivel2"/>
        <w:numPr>
          <w:ilvl w:val="1"/>
          <w:numId w:val="1"/>
        </w:numPr>
        <w:ind w:left="0" w:hanging="0"/>
        <w:rPr/>
      </w:pPr>
      <w:r>
        <w:rPr/>
        <w:t xml:space="preserve">O contratado deverá complementar a garantia contratual anteriormente prestada, de modo que se mantenha a proporção inicial em relação ao valor contratado. </w:t>
      </w:r>
    </w:p>
    <w:p>
      <w:pPr>
        <w:pStyle w:val="Nivel2"/>
        <w:numPr>
          <w:ilvl w:val="1"/>
          <w:numId w:val="1"/>
        </w:numPr>
        <w:ind w:left="0" w:hanging="0"/>
        <w:rPr/>
      </w:pPr>
      <w:r>
        <w:rPr/>
        <w:t>A majoração da tarifa de transporte público gera a possibilidade de revisão do item relativo aos valores pagos a título de vale-transporte, constante da Planilha de Custos e Formação de Preços do presente Contrato, desde que comprovada pelo contratado a sua efetiva repercussão sobre os preços contratados.</w:t>
      </w:r>
    </w:p>
    <w:p>
      <w:pPr>
        <w:pStyle w:val="Nivel2"/>
        <w:numPr>
          <w:ilvl w:val="1"/>
          <w:numId w:val="1"/>
        </w:numPr>
        <w:ind w:left="0" w:hanging="0"/>
        <w:rPr/>
      </w:pPr>
      <w:r>
        <w:rPr/>
        <w:t xml:space="preserve">A revisão dos custos relativos ao vale-transporte será formalizada por </w:t>
      </w:r>
      <w:commentRangeStart w:id="7"/>
      <w:r>
        <w:rPr/>
        <w:t>apostilamento</w:t>
      </w:r>
      <w:r>
        <w:rPr/>
      </w:r>
      <w:commentRangeEnd w:id="7"/>
      <w:r>
        <w:commentReference w:id="7"/>
      </w:r>
      <w:r>
        <w:rPr/>
        <w:t xml:space="preserve">. </w:t>
      </w:r>
    </w:p>
    <w:p>
      <w:pPr>
        <w:pStyle w:val="Nivel01"/>
        <w:numPr>
          <w:ilvl w:val="0"/>
          <w:numId w:val="1"/>
        </w:numPr>
        <w:ind w:left="0" w:hanging="0"/>
        <w:rPr/>
      </w:pPr>
      <w:r>
        <w:rPr/>
        <w:t xml:space="preserve">CLÁUSULA OITAVA - OBRIGAÇÕES DO CONTRATANTE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X, XI e XIV</w:t>
      </w:r>
      <w:r>
        <w:rPr>
          <w:rStyle w:val="LinkdaInternet"/>
        </w:rPr>
        <w:fldChar w:fldCharType="end"/>
      </w:r>
      <w:r>
        <w:rPr/>
        <w:t>)</w:t>
      </w:r>
    </w:p>
    <w:p>
      <w:pPr>
        <w:pStyle w:val="Nivel2"/>
        <w:numPr>
          <w:ilvl w:val="1"/>
          <w:numId w:val="1"/>
        </w:numPr>
        <w:ind w:left="0" w:hanging="0"/>
        <w:rPr/>
      </w:pPr>
      <w:r>
        <w:rPr/>
        <w:t>São obrigações do Contratante:</w:t>
      </w:r>
    </w:p>
    <w:p>
      <w:pPr>
        <w:pStyle w:val="Nivel2"/>
        <w:numPr>
          <w:ilvl w:val="1"/>
          <w:numId w:val="1"/>
        </w:numPr>
        <w:ind w:left="0" w:hanging="0"/>
        <w:rPr/>
      </w:pPr>
      <w:r>
        <w:rPr/>
        <w:t>Exigir o cumprimento de todas as obrigações assumidas pelo Contratado, de acordo com o contrato e seus anexos;</w:t>
      </w:r>
    </w:p>
    <w:p>
      <w:pPr>
        <w:pStyle w:val="Nivel2"/>
        <w:numPr>
          <w:ilvl w:val="1"/>
          <w:numId w:val="1"/>
        </w:numPr>
        <w:ind w:left="0" w:hanging="0"/>
        <w:rPr/>
      </w:pPr>
      <w:r>
        <w:rPr/>
        <w:t>Receber o objeto no prazo e condições estabelecidas no Termo de Referência;</w:t>
      </w:r>
    </w:p>
    <w:p>
      <w:pPr>
        <w:pStyle w:val="Nivel2"/>
        <w:numPr>
          <w:ilvl w:val="1"/>
          <w:numId w:val="1"/>
        </w:numPr>
        <w:ind w:left="0" w:hanging="0"/>
        <w:rPr/>
      </w:pPr>
      <w:r>
        <w:rPr/>
        <w:t>Notificar o Contratado, por escrito, sobre vícios, defeitos ou incorreções verificadas no objeto fornecido, para que seja por ele substituído, reparado ou corrigido, no total ou em parte, às suas expensas;</w:t>
      </w:r>
    </w:p>
    <w:p>
      <w:pPr>
        <w:pStyle w:val="Nivel2"/>
        <w:numPr>
          <w:ilvl w:val="1"/>
          <w:numId w:val="1"/>
        </w:numPr>
        <w:ind w:left="0" w:hanging="0"/>
        <w:rPr/>
      </w:pPr>
      <w:r>
        <w:rPr/>
        <w:t>Acompanhar e fiscalizar a execução do contrato e o cumprimento das obrigações pelo Contratado;</w:t>
      </w:r>
    </w:p>
    <w:p>
      <w:pPr>
        <w:pStyle w:val="Nivel2"/>
        <w:numPr>
          <w:ilvl w:val="1"/>
          <w:numId w:val="1"/>
        </w:numPr>
        <w:ind w:left="0" w:hanging="0"/>
        <w:rPr/>
      </w:pPr>
      <w:r>
        <w:rPr/>
        <w:t>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p>
    <w:p>
      <w:pPr>
        <w:pStyle w:val="Nivel2"/>
        <w:numPr>
          <w:ilvl w:val="1"/>
          <w:numId w:val="1"/>
        </w:numPr>
        <w:ind w:left="0" w:hanging="0"/>
        <w:rPr/>
      </w:pPr>
      <w:r>
        <w:rPr/>
        <w:t>Efetuar o pagamento ao Contratado do valor correspondente à execução do objeto, no prazo, forma e condições estabelecidos no presente Contrato e no Termo de Referência;</w:t>
      </w:r>
    </w:p>
    <w:p>
      <w:pPr>
        <w:pStyle w:val="Nivel2"/>
        <w:numPr>
          <w:ilvl w:val="1"/>
          <w:numId w:val="1"/>
        </w:numPr>
        <w:ind w:left="0" w:hanging="0"/>
        <w:rPr/>
      </w:pPr>
      <w:r>
        <w:rPr/>
        <w:t xml:space="preserve">Aplicar ao Contratado as sanções previstas na lei e neste Contrato; </w:t>
      </w:r>
    </w:p>
    <w:p>
      <w:pPr>
        <w:pStyle w:val="Nivel2"/>
        <w:numPr>
          <w:ilvl w:val="1"/>
          <w:numId w:val="1"/>
        </w:numPr>
        <w:ind w:left="0" w:hanging="0"/>
        <w:rPr/>
      </w:pPr>
      <w:r>
        <w:rPr/>
        <w:t>Não praticar atos de ingerência na administração do contratado, tais como (art. 48 da Lei n.º 14.133/2021):</w:t>
      </w:r>
    </w:p>
    <w:p>
      <w:pPr>
        <w:pStyle w:val="Nivel3"/>
        <w:numPr>
          <w:ilvl w:val="2"/>
          <w:numId w:val="1"/>
        </w:numPr>
        <w:ind w:left="284" w:hanging="0"/>
        <w:rPr/>
      </w:pPr>
      <w:r>
        <w:rPr/>
        <w:t>indicar pessoas expressamente nominadas para executar direta ou indiretamente o objeto contratado;</w:t>
      </w:r>
    </w:p>
    <w:p>
      <w:pPr>
        <w:pStyle w:val="Nivel3"/>
        <w:numPr>
          <w:ilvl w:val="2"/>
          <w:numId w:val="1"/>
        </w:numPr>
        <w:ind w:left="284" w:hanging="0"/>
        <w:rPr/>
      </w:pPr>
      <w:r>
        <w:rPr/>
        <w:t>fixar salário inferior ao definido em lei ou em ato normativo a ser pago pelo contratado;</w:t>
      </w:r>
    </w:p>
    <w:p>
      <w:pPr>
        <w:pStyle w:val="Nivel3"/>
        <w:numPr>
          <w:ilvl w:val="2"/>
          <w:numId w:val="1"/>
        </w:numPr>
        <w:ind w:left="284" w:hanging="0"/>
        <w:rPr/>
      </w:pPr>
      <w:r>
        <w:rPr/>
        <w:t xml:space="preserve"> </w:t>
      </w:r>
      <w:r>
        <w:rPr/>
        <w:t>estabelecer vínculo de subordinação com funcionário do contratado;</w:t>
      </w:r>
    </w:p>
    <w:p>
      <w:pPr>
        <w:pStyle w:val="Nivel3"/>
        <w:numPr>
          <w:ilvl w:val="2"/>
          <w:numId w:val="1"/>
        </w:numPr>
        <w:ind w:left="284" w:hanging="0"/>
        <w:rPr/>
      </w:pPr>
      <w:r>
        <w:rPr/>
        <w:t>definir forma de pagamento mediante exclusivo reembolso dos salários pagos;</w:t>
      </w:r>
    </w:p>
    <w:p>
      <w:pPr>
        <w:pStyle w:val="Nivel3"/>
        <w:numPr>
          <w:ilvl w:val="2"/>
          <w:numId w:val="1"/>
        </w:numPr>
        <w:ind w:left="284" w:hanging="0"/>
        <w:rPr/>
      </w:pPr>
      <w:r>
        <w:rPr/>
        <w:t>demandar a funcionário do contratado a execução de tarefas fora do escopo do objeto da contratação;</w:t>
      </w:r>
    </w:p>
    <w:p>
      <w:pPr>
        <w:pStyle w:val="Nivel3"/>
        <w:numPr>
          <w:ilvl w:val="2"/>
          <w:numId w:val="1"/>
        </w:numPr>
        <w:ind w:left="284" w:hanging="0"/>
        <w:rPr/>
      </w:pPr>
      <w:r>
        <w:rPr/>
        <w:t>prever exigências que constituam intervenção indevida da Administração na gestão interna do contratado.</w:t>
      </w:r>
    </w:p>
    <w:p>
      <w:pPr>
        <w:pStyle w:val="Nivel2"/>
        <w:numPr>
          <w:ilvl w:val="1"/>
          <w:numId w:val="1"/>
        </w:numPr>
        <w:ind w:left="0" w:hanging="0"/>
        <w:rPr/>
      </w:pPr>
      <w:r>
        <w:rPr/>
        <w:t>Cientificar o órgão de representação judicial da Advocacia-Geral da União para adoção das medidas cabíveis quando do descumprimento de obrigações pelo Contratado;</w:t>
      </w:r>
    </w:p>
    <w:p>
      <w:pPr>
        <w:pStyle w:val="Nivel2"/>
        <w:numPr>
          <w:ilvl w:val="1"/>
          <w:numId w:val="1"/>
        </w:numPr>
        <w:ind w:left="0" w:hanging="0"/>
        <w:rPr/>
      </w:pPr>
      <w: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3"/>
        <w:numPr>
          <w:ilvl w:val="2"/>
          <w:numId w:val="1"/>
        </w:numPr>
        <w:ind w:left="284" w:hanging="0"/>
        <w:rPr/>
      </w:pPr>
      <w:r>
        <w:rPr/>
        <w:t xml:space="preserve"> </w:t>
      </w:r>
      <w:commentRangeStart w:id="8"/>
      <w:r>
        <w:rPr/>
        <w:t>A Administração terá o prazo de</w:t>
      </w:r>
      <w:r>
        <w:rPr>
          <w:i/>
          <w:iCs/>
          <w:color w:val="FF0000"/>
        </w:rPr>
        <w:t xml:space="preserve"> 30 (trinta) dias</w:t>
      </w:r>
      <w:r>
        <w:rPr/>
        <w:t xml:space="preserve">, a contar da data do protocolo do requerimento para decidir, admitida a prorrogação motivada, por igual período. </w:t>
      </w:r>
      <w:bookmarkStart w:id="2" w:name="_Ref128062899"/>
      <w:bookmarkEnd w:id="2"/>
      <w:commentRangeEnd w:id="8"/>
      <w:r>
        <w:commentReference w:id="8"/>
      </w:r>
      <w:r>
        <w:rPr/>
      </w:r>
    </w:p>
    <w:p>
      <w:pPr>
        <w:pStyle w:val="Nivel2"/>
        <w:numPr>
          <w:ilvl w:val="1"/>
          <w:numId w:val="1"/>
        </w:numPr>
        <w:ind w:left="0" w:hanging="0"/>
        <w:rPr/>
      </w:pPr>
      <w:commentRangeStart w:id="9"/>
      <w:r>
        <w:rPr/>
        <w:t>Responder eventuais pedidos de reestabelecimento do equilíbrio econômico-financeiro feitos pelo contratado no prazo máximo de</w:t>
      </w:r>
      <w:r>
        <w:rPr>
          <w:color w:val="FF0000"/>
        </w:rPr>
        <w:t xml:space="preserve"> 30 (trinta) dias.</w:t>
      </w:r>
      <w:commentRangeEnd w:id="9"/>
      <w:r>
        <w:commentReference w:id="9"/>
      </w:r>
      <w:r>
        <w:rPr>
          <w:color w:val="FF0000"/>
        </w:rPr>
      </w:r>
    </w:p>
    <w:p>
      <w:pPr>
        <w:pStyle w:val="Nivel2"/>
        <w:numPr>
          <w:ilvl w:val="1"/>
          <w:numId w:val="1"/>
        </w:numPr>
        <w:ind w:left="0" w:hanging="0"/>
        <w:rPr>
          <w:i/>
          <w:i/>
        </w:rPr>
      </w:pPr>
      <w:bookmarkStart w:id="3" w:name="_Hlk114499841"/>
      <w:bookmarkEnd w:id="3"/>
      <w:r>
        <w:rPr/>
        <w:t xml:space="preserve">Notificar os emitentes das garantias quanto ao início de processo administrativo para apuração de descumprimento de cláusulas contratuais (§4º, do art. 137, da Lei nº 14.133, de 2021). </w:t>
      </w:r>
    </w:p>
    <w:p>
      <w:pPr>
        <w:pStyle w:val="Nivel2"/>
        <w:numPr>
          <w:ilvl w:val="1"/>
          <w:numId w:val="1"/>
        </w:numPr>
        <w:ind w:left="0" w:hanging="0"/>
        <w:rPr/>
      </w:pPr>
      <w:r>
        <w:rPr/>
        <w:t xml:space="preserve">Comunicar o Contratado na hipótese de posterior alteração do projeto pelo Contratante, no caso </w:t>
      </w:r>
      <w:r>
        <w:fldChar w:fldCharType="begin"/>
      </w:r>
      <w:r>
        <w:rPr>
          <w:rStyle w:val="LinkdaInternet"/>
        </w:rPr>
        <w:instrText> HYPERLINK "http://www.planalto.gov.br/ccivil_03/_ato2019-2022/2021/lei/L14133.htm" \l "art93§2"</w:instrText>
      </w:r>
      <w:r>
        <w:rPr>
          <w:rStyle w:val="LinkdaInternet"/>
        </w:rPr>
        <w:fldChar w:fldCharType="separate"/>
      </w:r>
      <w:r>
        <w:rPr>
          <w:rStyle w:val="LinkdaInternet"/>
        </w:rPr>
        <w:t>do art. 93, §2º, da Lei nº 14.133, de 2021</w:t>
      </w:r>
      <w:r>
        <w:rPr>
          <w:rStyle w:val="LinkdaInternet"/>
        </w:rPr>
        <w:fldChar w:fldCharType="end"/>
      </w:r>
      <w:r>
        <w:rPr/>
        <w:t>.</w:t>
      </w:r>
    </w:p>
    <w:p>
      <w:pPr>
        <w:pStyle w:val="Nivel2"/>
        <w:numPr>
          <w:ilvl w:val="1"/>
          <w:numId w:val="1"/>
        </w:numPr>
        <w:ind w:left="0" w:hanging="0"/>
        <w:rPr/>
      </w:pPr>
      <w: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01"/>
        <w:numPr>
          <w:ilvl w:val="0"/>
          <w:numId w:val="1"/>
        </w:numPr>
        <w:ind w:left="0" w:hanging="0"/>
        <w:rPr>
          <w:color w:val="FFFFFF" w:themeColor="background1"/>
        </w:rPr>
      </w:pPr>
      <w:r>
        <w:rPr/>
        <w:t>CLÁUSULA NONA - OBRIGAÇÕES DO CONTRATADO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XIV, XVI e XVII</w:t>
      </w:r>
      <w:r>
        <w:rPr>
          <w:rStyle w:val="LinkdaInternet"/>
        </w:rPr>
        <w:fldChar w:fldCharType="end"/>
      </w:r>
      <w:r>
        <w:rPr/>
        <w:t>)</w:t>
      </w:r>
      <w:r>
        <w:rPr/>
        <w:commentReference w:id="10"/>
      </w:r>
    </w:p>
    <w:p>
      <w:pPr>
        <w:pStyle w:val="Nivel2"/>
        <w:numPr>
          <w:ilvl w:val="1"/>
          <w:numId w:val="1"/>
        </w:numPr>
        <w:ind w:left="0" w:hanging="0"/>
        <w:rPr/>
      </w:pPr>
      <w:r>
        <w:rPr/>
        <w:t>O Contratado deve cumprir todas as obrigações constantes deste Contrato e de seus anexos, assumindo como exclusivamente seus os riscos e as despesas decorrentes da boa e perfeita execução do objeto, observando, ainda, as obrigações a seguir dispostas:</w:t>
      </w:r>
    </w:p>
    <w:p>
      <w:pPr>
        <w:pStyle w:val="Nivel2"/>
        <w:numPr>
          <w:ilvl w:val="1"/>
          <w:numId w:val="1"/>
        </w:numPr>
        <w:ind w:left="0" w:hanging="0"/>
        <w:rPr/>
      </w:pPr>
      <w:r>
        <w:rPr/>
        <w:t>Atender às determinações regulares emitidas pelo fiscal do contrato ou autoridade superior (</w:t>
      </w:r>
      <w:r>
        <w:fldChar w:fldCharType="begin"/>
      </w:r>
      <w:r>
        <w:rPr>
          <w:rStyle w:val="LinkdaInternet"/>
        </w:rPr>
        <w:instrText> HYPERLINK "http://www.planalto.gov.br/ccivil_03/_ato2019-2022/2021/lei/L14133.htm" \l "art137"</w:instrText>
      </w:r>
      <w:r>
        <w:rPr>
          <w:rStyle w:val="LinkdaInternet"/>
        </w:rPr>
        <w:fldChar w:fldCharType="separate"/>
      </w:r>
      <w:r>
        <w:rPr>
          <w:rStyle w:val="LinkdaInternet"/>
        </w:rPr>
        <w:t>art. 137, II</w:t>
      </w:r>
      <w:r>
        <w:rPr>
          <w:rStyle w:val="LinkdaInternet"/>
        </w:rPr>
        <w:fldChar w:fldCharType="end"/>
      </w:r>
      <w:r>
        <w:rPr/>
        <w:t xml:space="preserve">) </w:t>
      </w:r>
      <w:r>
        <w:rPr>
          <w:color w:val="000000" w:themeColor="text1"/>
        </w:rPr>
        <w:t xml:space="preserve">e </w:t>
      </w:r>
      <w:r>
        <w:rPr/>
        <w:t>prestar todo esclarecimento ou informação por eles solicitados</w:t>
      </w:r>
      <w:r>
        <w:rPr>
          <w:color w:val="000000" w:themeColor="text1"/>
        </w:rPr>
        <w:t>;</w:t>
      </w:r>
    </w:p>
    <w:p>
      <w:pPr>
        <w:pStyle w:val="Nivel2"/>
        <w:numPr>
          <w:ilvl w:val="1"/>
          <w:numId w:val="1"/>
        </w:numPr>
        <w:ind w:left="0" w:hanging="0"/>
        <w:rPr/>
      </w:pPr>
      <w:r>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pPr>
        <w:pStyle w:val="Nivel2"/>
        <w:numPr>
          <w:ilvl w:val="1"/>
          <w:numId w:val="1"/>
        </w:numPr>
        <w:ind w:left="0" w:hanging="0"/>
        <w:rPr/>
      </w:pPr>
      <w:commentRangeStart w:id="11"/>
      <w:r>
        <w:rPr/>
        <w:t>Reparar, corrigir, remover, reconstruir ou substituir, às suas expensas, no total ou em parte, no prazo fixado pelo fiscal do contrato, os serviços nos quais se verificarem vícios, defeitos ou incorreções resultantes da execução ou dos materiais empregados;</w:t>
      </w:r>
      <w:commentRangeEnd w:id="11"/>
      <w:r>
        <w:commentReference w:id="11"/>
      </w:r>
      <w:r>
        <w:rPr/>
      </w:r>
    </w:p>
    <w:p>
      <w:pPr>
        <w:pStyle w:val="Nivel2"/>
        <w:numPr>
          <w:ilvl w:val="1"/>
          <w:numId w:val="1"/>
        </w:numPr>
        <w:ind w:left="0" w:hanging="0"/>
        <w:rPr/>
      </w:pPr>
      <w:r>
        <w:rPr/>
        <w:t xml:space="preserve">Responsabilizar-se pelos vícios e danos decorrentes da execução do objeto, de acordo com o </w:t>
      </w:r>
      <w:hyperlink r:id="rId3">
        <w:r>
          <w:rPr>
            <w:rStyle w:val="LinkdaInternet"/>
          </w:rPr>
          <w:t>Código de Defesa do Consumidor (Lei nº 8.078, de 1990</w:t>
        </w:r>
      </w:hyperlink>
      <w:r>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pPr>
        <w:pStyle w:val="Nivel2"/>
        <w:numPr>
          <w:ilvl w:val="1"/>
          <w:numId w:val="1"/>
        </w:numPr>
        <w:ind w:left="0" w:hanging="0"/>
        <w:rPr/>
      </w:pPr>
      <w:r>
        <w:rPr/>
        <w:t xml:space="preserve">Não contratar, durante a vigência do contrato, cônjuge, companheiro ou parente em linha reta, colateral ou por afinidade, até o terceiro grau, de dirigente do contratante ou de agente público que tenha desempenhado função na licitação ou que atue na fiscalização ou gestão do contrato, nos termos do </w:t>
      </w:r>
      <w:r>
        <w:fldChar w:fldCharType="begin"/>
      </w:r>
      <w:r>
        <w:rPr>
          <w:rStyle w:val="LinkdaInternet"/>
        </w:rPr>
        <w:instrText> HYPERLINK "http://www.planalto.gov.br/ccivil_03/_ato2019-2022/2021/lei/L14133.htm" \l "art48"</w:instrText>
      </w:r>
      <w:r>
        <w:rPr>
          <w:rStyle w:val="LinkdaInternet"/>
        </w:rPr>
        <w:fldChar w:fldCharType="separate"/>
      </w:r>
      <w:r>
        <w:rPr>
          <w:rStyle w:val="LinkdaInternet"/>
        </w:rPr>
        <w:t>artigo 48, parágrafo único, da Lei nº 14.133, de 2021</w:t>
      </w:r>
      <w:r>
        <w:rPr>
          <w:rStyle w:val="LinkdaInternet"/>
        </w:rPr>
        <w:fldChar w:fldCharType="end"/>
      </w:r>
      <w:r>
        <w:rPr/>
        <w:t>;</w:t>
      </w:r>
    </w:p>
    <w:p>
      <w:pPr>
        <w:pStyle w:val="Nivel2"/>
        <w:numPr>
          <w:ilvl w:val="1"/>
          <w:numId w:val="1"/>
        </w:numPr>
        <w:ind w:left="0" w:hanging="0"/>
        <w:rPr/>
      </w:pPr>
      <w:r>
        <w:rPr/>
        <w:t>Vedar a utilização, na execução dos serviços, de empregado que seja familiar de agente público ocupante de cargo em comissão ou função de confiança no órgão contratante, nos termos do artigo 7° do Decreto n° 7.203, de 2010;</w:t>
      </w:r>
    </w:p>
    <w:p>
      <w:pPr>
        <w:pStyle w:val="Nivel2"/>
        <w:numPr>
          <w:ilvl w:val="1"/>
          <w:numId w:val="1"/>
        </w:numPr>
        <w:ind w:left="0" w:hanging="0"/>
        <w:rPr/>
      </w:pPr>
      <w:r>
        <w:rPr/>
        <w:t>Q</w:t>
      </w:r>
      <w:commentRangeStart w:id="12"/>
      <w:r>
        <w:rPr/>
        <w:t xml:space="preserve">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commentRangeEnd w:id="12"/>
      <w:r>
        <w:commentReference w:id="12"/>
      </w:r>
      <w:r>
        <w:rPr/>
      </w:r>
    </w:p>
    <w:p>
      <w:pPr>
        <w:pStyle w:val="Nivel2"/>
        <w:numPr>
          <w:ilvl w:val="1"/>
          <w:numId w:val="1"/>
        </w:numPr>
        <w:ind w:left="0" w:hanging="0"/>
        <w:rPr/>
      </w:pPr>
      <w:r>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pPr>
        <w:pStyle w:val="Nivel2"/>
        <w:numPr>
          <w:ilvl w:val="1"/>
          <w:numId w:val="1"/>
        </w:numPr>
        <w:ind w:left="0" w:hanging="0"/>
        <w:rPr/>
      </w:pPr>
      <w:r>
        <w:rPr/>
        <w:t>Comunicar ao Fiscal do contrato, no prazo de 24 (vinte e quatro) horas, qualquer ocorrência anormal ou acidente que se verifique no local dos serviços.</w:t>
      </w:r>
    </w:p>
    <w:p>
      <w:pPr>
        <w:pStyle w:val="Nivel2"/>
        <w:numPr>
          <w:ilvl w:val="1"/>
          <w:numId w:val="1"/>
        </w:numPr>
        <w:ind w:left="0" w:hanging="0"/>
        <w:rPr/>
      </w:pPr>
      <w:r>
        <w:rPr/>
        <w:t>Prestar todo esclarecimento ou informação solicitada pelo Contratante ou por seus prepostos, garantindo-lhes o acesso, a qualquer tempo, ao local dos trabalhos, bem como aos documentos relativos à execução do empreendimento.</w:t>
      </w:r>
    </w:p>
    <w:p>
      <w:pPr>
        <w:pStyle w:val="Nivel2"/>
        <w:numPr>
          <w:ilvl w:val="1"/>
          <w:numId w:val="1"/>
        </w:numPr>
        <w:ind w:left="0" w:hanging="0"/>
        <w:rPr/>
      </w:pPr>
      <w:r>
        <w:rPr/>
        <w:t>Paralisar, por determinação do Contratante, qualquer atividade que não esteja sendo executada de acordo com a boa técnica ou que ponha em risco a segurança de pessoas ou bens de terceiros.</w:t>
      </w:r>
    </w:p>
    <w:p>
      <w:pPr>
        <w:pStyle w:val="Nivel2"/>
        <w:numPr>
          <w:ilvl w:val="1"/>
          <w:numId w:val="1"/>
        </w:numPr>
        <w:ind w:left="0" w:hanging="0"/>
        <w:rPr/>
      </w:pPr>
      <w:r>
        <w:rPr/>
        <w:t>Promover a guarda, manutenção e vigilância de materiais, ferramentas, e tudo o que for necessário à execução do objeto, durante a vigência do contrato.</w:t>
      </w:r>
    </w:p>
    <w:p>
      <w:pPr>
        <w:pStyle w:val="Nivel2"/>
        <w:numPr>
          <w:ilvl w:val="1"/>
          <w:numId w:val="1"/>
        </w:numPr>
        <w:ind w:left="0" w:hanging="0"/>
        <w:rPr/>
      </w:pPr>
      <w:r>
        <w:rPr/>
        <w:t>Conduzir os trabalhos com estrita observância às normas da legislação pertinente, cumprindo as determinações dos Poderes Públicos, mantendo sempre limpo o local dos serviços e nas melhores condições de segurança, higiene e disciplina.</w:t>
      </w:r>
    </w:p>
    <w:p>
      <w:pPr>
        <w:pStyle w:val="Nivel2"/>
        <w:numPr>
          <w:ilvl w:val="1"/>
          <w:numId w:val="1"/>
        </w:numPr>
        <w:ind w:left="0" w:hanging="0"/>
        <w:rPr/>
      </w:pPr>
      <w:r>
        <w:rPr/>
        <w:t>Submeter previamente, por escrito, ao Contratante, para análise e aprovação, quaisquer mudanças nos métodos executivos que fujam às especificações do memorial descritivo ou instrumento congênere.</w:t>
      </w:r>
    </w:p>
    <w:p>
      <w:pPr>
        <w:pStyle w:val="Nivel2"/>
        <w:numPr>
          <w:ilvl w:val="1"/>
          <w:numId w:val="1"/>
        </w:numPr>
        <w:ind w:left="0" w:hanging="0"/>
        <w:rPr/>
      </w:pPr>
      <w:r>
        <w:rPr/>
        <w:t>Não permitir a utilização de qualquer trabalho do menor de dezesseis anos, exceto na condição de aprendiz para os maiores de quatorze anos, nem permitir a utilização do trabalho do menor de dezoito anos em trabalho noturno, perigoso ou insalubre;</w:t>
      </w:r>
    </w:p>
    <w:p>
      <w:pPr>
        <w:pStyle w:val="Nivel2"/>
        <w:numPr>
          <w:ilvl w:val="1"/>
          <w:numId w:val="1"/>
        </w:numPr>
        <w:ind w:left="0" w:hanging="0"/>
        <w:rPr/>
      </w:pPr>
      <w:r>
        <w:rPr/>
        <w:t xml:space="preserve"> </w:t>
      </w:r>
      <w:r>
        <w:rPr/>
        <w:t xml:space="preserve">Manter durante toda a vigência do contrato, em compatibilidade com as obrigações assumidas, todas as condições exigidas para habilitação na licitação; </w:t>
      </w:r>
    </w:p>
    <w:p>
      <w:pPr>
        <w:pStyle w:val="Nivel2"/>
        <w:numPr>
          <w:ilvl w:val="1"/>
          <w:numId w:val="1"/>
        </w:numPr>
        <w:ind w:left="0" w:hanging="0"/>
        <w:rPr/>
      </w:pPr>
      <w:r>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rPr>
          <w:rStyle w:val="LinkdaInternet"/>
        </w:rPr>
        <w:instrText> HYPERLINK "http://www.planalto.gov.br/ccivil_03/_ato2019-2022/2021/lei/L14133.htm" \l "art116"</w:instrText>
      </w:r>
      <w:r>
        <w:rPr>
          <w:rStyle w:val="LinkdaInternet"/>
        </w:rPr>
        <w:fldChar w:fldCharType="separate"/>
      </w:r>
      <w:r>
        <w:rPr>
          <w:rStyle w:val="LinkdaInternet"/>
        </w:rPr>
        <w:t>art. 116</w:t>
      </w:r>
      <w:r>
        <w:rPr>
          <w:rStyle w:val="LinkdaInternet"/>
        </w:rPr>
        <w:fldChar w:fldCharType="end"/>
      </w:r>
      <w:r>
        <w:rPr/>
        <w:t>);</w:t>
      </w:r>
    </w:p>
    <w:p>
      <w:pPr>
        <w:pStyle w:val="Nivel2"/>
        <w:numPr>
          <w:ilvl w:val="1"/>
          <w:numId w:val="1"/>
        </w:numPr>
        <w:ind w:left="0" w:hanging="0"/>
        <w:rPr/>
      </w:pPr>
      <w:r>
        <w:rPr/>
        <w:t>Comprovar a reserva de cargos a que se refere a cláusula acima, no prazo fixado pelo fiscal do contrato, com a indicação dos empregados que preencheram as referidas vagas (</w:t>
      </w:r>
      <w:r>
        <w:fldChar w:fldCharType="begin"/>
      </w:r>
      <w:r>
        <w:rPr>
          <w:rStyle w:val="LinkdaInternet"/>
        </w:rPr>
        <w:instrText> HYPERLINK "http://www.planalto.gov.br/ccivil_03/_ato2019-2022/2021/lei/L14133.htm" \l "art116"</w:instrText>
      </w:r>
      <w:r>
        <w:rPr>
          <w:rStyle w:val="LinkdaInternet"/>
        </w:rPr>
        <w:fldChar w:fldCharType="separate"/>
      </w:r>
      <w:r>
        <w:rPr>
          <w:rStyle w:val="LinkdaInternet"/>
        </w:rPr>
        <w:t>art. 116, parágrafo único</w:t>
      </w:r>
      <w:r>
        <w:rPr>
          <w:rStyle w:val="LinkdaInternet"/>
        </w:rPr>
        <w:fldChar w:fldCharType="end"/>
      </w:r>
      <w:r>
        <w:rPr/>
        <w:t>);</w:t>
      </w:r>
    </w:p>
    <w:p>
      <w:pPr>
        <w:pStyle w:val="Nivel2"/>
        <w:numPr>
          <w:ilvl w:val="1"/>
          <w:numId w:val="1"/>
        </w:numPr>
        <w:ind w:left="0" w:hanging="0"/>
        <w:rPr/>
      </w:pPr>
      <w:r>
        <w:rPr/>
        <w:t xml:space="preserve">Guardar sigilo sobre todas as informações obtidas em decorrência do cumprimento do contrato; </w:t>
      </w:r>
    </w:p>
    <w:p>
      <w:pPr>
        <w:pStyle w:val="Nivel2"/>
        <w:numPr>
          <w:ilvl w:val="1"/>
          <w:numId w:val="1"/>
        </w:numPr>
        <w:ind w:left="0" w:hanging="0"/>
        <w:rPr/>
      </w:pPr>
      <w:r>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rPr>
          <w:rStyle w:val="LinkdaInternet"/>
        </w:rPr>
        <w:instrText> HYPERLINK "http://www.planalto.gov.br/ccivil_03/_ato2019-2022/2021/lei/L14133.htm" \l "art124"</w:instrText>
      </w:r>
      <w:r>
        <w:rPr>
          <w:rStyle w:val="LinkdaInternet"/>
        </w:rPr>
        <w:fldChar w:fldCharType="separate"/>
      </w:r>
      <w:r>
        <w:rPr>
          <w:rStyle w:val="LinkdaInternet"/>
        </w:rPr>
        <w:t>art. 124, II, d, da Lei nº 14.133, de 2021</w:t>
      </w:r>
      <w:r>
        <w:rPr>
          <w:rStyle w:val="LinkdaInternet"/>
        </w:rPr>
        <w:fldChar w:fldCharType="end"/>
      </w:r>
      <w:r>
        <w:rPr/>
        <w:t>;</w:t>
      </w:r>
    </w:p>
    <w:p>
      <w:pPr>
        <w:pStyle w:val="Nivel2"/>
        <w:numPr>
          <w:ilvl w:val="1"/>
          <w:numId w:val="1"/>
        </w:numPr>
        <w:ind w:left="0" w:hanging="0"/>
        <w:rPr/>
      </w:pPr>
      <w:r>
        <w:rPr/>
        <w:t>Cumprir, além dos postulados legais vigentes de âmbito federal, estadual ou municipal, as normas de segurança do Contratante;</w:t>
      </w:r>
    </w:p>
    <w:p>
      <w:pPr>
        <w:pStyle w:val="Nivel2"/>
        <w:numPr>
          <w:ilvl w:val="1"/>
          <w:numId w:val="1"/>
        </w:numPr>
        <w:ind w:left="0" w:hanging="0"/>
        <w:rPr/>
      </w:pPr>
      <w:r>
        <w:rPr/>
        <w:t>Assegurar aos seus trabalhadores ambiente de trabalho, inclusive equipamentos e instalações, em condições adequadas ao cumprimento das normas de saúde, segurança e bem-estar no trabalho;</w:t>
      </w:r>
    </w:p>
    <w:p>
      <w:pPr>
        <w:pStyle w:val="Nivel2"/>
        <w:numPr>
          <w:ilvl w:val="1"/>
          <w:numId w:val="1"/>
        </w:numPr>
        <w:ind w:left="0" w:hanging="0"/>
        <w:rPr/>
      </w:pPr>
      <w:r>
        <w:rPr/>
        <w:t>Garantir o acesso do contratante, a qualquer tempo, ao local dos trabalhos, bem como aos documentos relativos à execução do empreendimento;</w:t>
      </w:r>
    </w:p>
    <w:p>
      <w:pPr>
        <w:pStyle w:val="Nivel2"/>
        <w:numPr>
          <w:ilvl w:val="1"/>
          <w:numId w:val="1"/>
        </w:numPr>
        <w:ind w:left="0" w:hanging="0"/>
        <w:rPr/>
      </w:pPr>
      <w:r>
        <w:rPr/>
        <w:t>Promover a organização técnica e administrativa dos serviços, de modo a conduzi-los eficaz e eficientemente, de acordo com os documentos e especificações que integram o Termo de Referência, no prazo determinado;</w:t>
      </w:r>
    </w:p>
    <w:p>
      <w:pPr>
        <w:pStyle w:val="Nivel2"/>
        <w:numPr>
          <w:ilvl w:val="1"/>
          <w:numId w:val="1"/>
        </w:numPr>
        <w:ind w:left="0" w:hanging="0"/>
        <w:rPr/>
      </w:pPr>
      <w:r>
        <w:rPr/>
        <w:t>Prestar os serviços dentro dos parâmetros e rotinas estabelecidos, fornecendo todos os materiais, equipamentos e utensílios em quantidade, qualidade e tecnologia adequadas, com a observância às recomendações aceitas pela boa técnica, normas e legislação;</w:t>
      </w:r>
    </w:p>
    <w:p>
      <w:pPr>
        <w:pStyle w:val="Nivel2"/>
        <w:numPr>
          <w:ilvl w:val="1"/>
          <w:numId w:val="1"/>
        </w:numPr>
        <w:ind w:left="0" w:hanging="0"/>
        <w:rPr/>
      </w:pPr>
      <w:r>
        <w:rPr/>
        <w:t>Disponibilizar ao contratante os empregados devidamente uniformizados e identificados por meio de crachá, além de provê-los com os Equipamentos de Proteção Individual - EPI, quando for o caso;</w:t>
      </w:r>
    </w:p>
    <w:p>
      <w:pPr>
        <w:pStyle w:val="Nivel2"/>
        <w:numPr>
          <w:ilvl w:val="1"/>
          <w:numId w:val="1"/>
        </w:numPr>
        <w:ind w:left="0" w:hanging="0"/>
        <w:rPr/>
      </w:pPr>
      <w:r>
        <w:rPr/>
        <w:t>Fornecer os uniformes a serem utilizados por seus empregados, conforme disposto no Termo de Referência, sem repassar quaisquer custos a estes;</w:t>
      </w:r>
    </w:p>
    <w:p>
      <w:pPr>
        <w:pStyle w:val="Nivel2"/>
        <w:numPr>
          <w:ilvl w:val="1"/>
          <w:numId w:val="1"/>
        </w:numPr>
        <w:ind w:left="0" w:hanging="0"/>
        <w:rPr/>
      </w:pPr>
      <w:r>
        <w:rPr/>
        <w:t>Apresentar relação mensal dos empregados que expressamente optarem por não receber o vale-transporte;</w:t>
      </w:r>
    </w:p>
    <w:p>
      <w:pPr>
        <w:pStyle w:val="Nivel2"/>
        <w:numPr>
          <w:ilvl w:val="1"/>
          <w:numId w:val="1"/>
        </w:numPr>
        <w:ind w:left="0" w:hanging="0"/>
        <w:rPr/>
      </w:pPr>
      <w:r>
        <w:rPr/>
        <w:t>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por parte da contratante. Em caso de impossibilidade de cumprimento desta disposição, o contratado deverá apresentar justificativa, a fim de que a Administração analise sua plausibilidade e possa verificar a realização do pagamento.</w:t>
      </w:r>
    </w:p>
    <w:p>
      <w:pPr>
        <w:pStyle w:val="Nivel2"/>
        <w:numPr>
          <w:ilvl w:val="1"/>
          <w:numId w:val="1"/>
        </w:numPr>
        <w:ind w:left="0" w:hanging="0"/>
        <w:rPr/>
      </w:pPr>
      <w:r>
        <w:rPr/>
        <w:t>Autorizar 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p>
    <w:p>
      <w:pPr>
        <w:pStyle w:val="Nivel2"/>
        <w:numPr>
          <w:ilvl w:val="1"/>
          <w:numId w:val="1"/>
        </w:numPr>
        <w:ind w:left="0" w:hanging="0"/>
        <w:rPr/>
      </w:pPr>
      <w:r>
        <w:rPr/>
        <w:t>Não permitir que o empregado designado para trabalhar em um turno preste seus serviços no turno imediatamente subsequente;</w:t>
      </w:r>
    </w:p>
    <w:p>
      <w:pPr>
        <w:pStyle w:val="Nivel2"/>
        <w:numPr>
          <w:ilvl w:val="1"/>
          <w:numId w:val="1"/>
        </w:numPr>
        <w:ind w:left="0" w:hanging="0"/>
        <w:rPr/>
      </w:pPr>
      <w:r>
        <w:rPr/>
        <w:t>Atender às solicitações do contratante quanto à substituição dos empregados alocados, no prazo fixado pelo fiscal do contrato, nos casos em que ficar constatado descumprimento das obrigações relativas à execução do serviço, conforme descrito neste Termo de Referência;</w:t>
      </w:r>
    </w:p>
    <w:p>
      <w:pPr>
        <w:pStyle w:val="Nivel2"/>
        <w:numPr>
          <w:ilvl w:val="1"/>
          <w:numId w:val="1"/>
        </w:numPr>
        <w:ind w:left="0" w:hanging="0"/>
        <w:rPr/>
      </w:pPr>
      <w:r>
        <w:rPr/>
        <w:t>Instruir seus empregados quanto à necessidade de acatar as normas internas da Administração;</w:t>
      </w:r>
    </w:p>
    <w:p>
      <w:pPr>
        <w:pStyle w:val="Nivel2"/>
        <w:numPr>
          <w:ilvl w:val="1"/>
          <w:numId w:val="1"/>
        </w:numPr>
        <w:ind w:left="0" w:hanging="0"/>
        <w:rPr/>
      </w:pPr>
      <w:r>
        <w:rPr/>
        <w:t>Instruir seus empregados a respeito das atividades a serem desempenhadas, alertando-os a não executar atividades não abrangidas pelo contrato, devendo o contratado relatar ao contratante toda e qualquer ocorrência neste sentido, a fim de evitar desvio de função;</w:t>
      </w:r>
    </w:p>
    <w:p>
      <w:pPr>
        <w:pStyle w:val="Nivel2"/>
        <w:numPr>
          <w:ilvl w:val="1"/>
          <w:numId w:val="1"/>
        </w:numPr>
        <w:ind w:left="0" w:hanging="0"/>
        <w:rPr/>
      </w:pPr>
      <w:r>
        <w:rPr/>
        <w:t>Instruir seus empregados, no início da execução contratual, quanto à obtenção das informações de seus interesses junto aos órgãos públicos, relativas ao contrato de trabalho e obrigações a ele inerentes, adotando, entre outras, as seguintes medidas:</w:t>
      </w:r>
    </w:p>
    <w:p>
      <w:pPr>
        <w:pStyle w:val="Nivel2"/>
        <w:numPr>
          <w:ilvl w:val="1"/>
          <w:numId w:val="1"/>
        </w:numPr>
        <w:ind w:left="0" w:hanging="0"/>
        <w:rPr/>
      </w:pPr>
      <w:r>
        <w:rPr/>
        <w:t>Viabilizar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p>
    <w:p>
      <w:pPr>
        <w:pStyle w:val="Nivel2"/>
        <w:numPr>
          <w:ilvl w:val="1"/>
          <w:numId w:val="1"/>
        </w:numPr>
        <w:ind w:left="0" w:hanging="0"/>
        <w:rPr/>
      </w:pPr>
      <w:r>
        <w:rPr/>
        <w:t>Viabilizar a emissão do cartão cidadão pela Caixa Econômica Federal para todos os empregados, no prazo máximo de 60 (sessenta) dias, contados do início da prestação dos serviços ou da admissão do empregado;</w:t>
      </w:r>
    </w:p>
    <w:p>
      <w:pPr>
        <w:pStyle w:val="Nivel2"/>
        <w:numPr>
          <w:ilvl w:val="1"/>
          <w:numId w:val="1"/>
        </w:numPr>
        <w:ind w:left="0" w:hanging="0"/>
        <w:rPr/>
      </w:pPr>
      <w:r>
        <w:rPr/>
        <w:t xml:space="preserve"> </w:t>
      </w:r>
      <w:r>
        <w:rPr/>
        <w:t>Oferecer todos os meios necessários aos seus empregados para a obtenção de extratos de recolhimentos de seus direitos sociais, preferencialmente por meio eletrônico, quando disponível.</w:t>
      </w:r>
    </w:p>
    <w:p>
      <w:pPr>
        <w:pStyle w:val="Nivel2"/>
        <w:numPr>
          <w:ilvl w:val="1"/>
          <w:numId w:val="1"/>
        </w:numPr>
        <w:ind w:left="0" w:hanging="0"/>
        <w:rPr/>
      </w:pPr>
      <w:r>
        <w:rPr/>
        <w:t xml:space="preserve">Não se beneficiar da condição de optante pelo Simples Nacional, salvo quando se tratar das exceções previstas no § 5º-C do art. 18 da Lei Complementar nº 123, de 14 de dezembro de 2006; </w:t>
      </w:r>
    </w:p>
    <w:p>
      <w:pPr>
        <w:pStyle w:val="Nivel3"/>
        <w:numPr>
          <w:ilvl w:val="2"/>
          <w:numId w:val="1"/>
        </w:numPr>
        <w:ind w:left="284" w:hanging="0"/>
        <w:rPr/>
      </w:pPr>
      <w:r>
        <w:rPr/>
        <w:t>Comunicar formalmente à Receita Federal a assinatura do contrato de prestação de serviços mediante cessão de mão de obra, para fins de exclusão obrigatória do Simples Nacional, a contar do mês seguinte ao da contratação, conforme previsão do art.17, XII, art. 30, §1º, II, e do art. 31, II, todos da Lei Complementar nº 123/2006, salvo quando se tratar das exceções previstas no § 5º-C do art. 18 do mesmo diploma legal;</w:t>
      </w:r>
    </w:p>
    <w:p>
      <w:pPr>
        <w:pStyle w:val="Nivel3"/>
        <w:numPr>
          <w:ilvl w:val="2"/>
          <w:numId w:val="1"/>
        </w:numPr>
        <w:ind w:left="284" w:hanging="0"/>
        <w:rPr/>
      </w:pPr>
      <w:r>
        <w:rPr/>
        <w:t>Para efeito de comprovação da comunicação, a contratado deverá apresentar cópia do ofício enviado à Receita Federal do Brasil, com comprovante de entrega e recebimento, comunicando a assinatura do contrato de prestação de serviços mediante cessão de mão de obra, até o último dia útil do mês subsequente ao da ocorrência da situação de vedação.</w:t>
      </w:r>
    </w:p>
    <w:p>
      <w:pPr>
        <w:pStyle w:val="Nivel01"/>
        <w:numPr>
          <w:ilvl w:val="0"/>
          <w:numId w:val="1"/>
        </w:numPr>
        <w:ind w:left="0" w:hanging="0"/>
        <w:rPr>
          <w:rFonts w:ascii="Arial" w:hAnsi="Arial"/>
          <w:color w:val="000000"/>
          <w:sz w:val="20"/>
          <w:szCs w:val="20"/>
        </w:rPr>
      </w:pPr>
      <w:r>
        <w:rPr>
          <w:color w:val="000000"/>
          <w:sz w:val="20"/>
          <w:szCs w:val="20"/>
        </w:rPr>
        <w:t>OBRIGAÇÕES DO MOTORISTA</w:t>
      </w:r>
    </w:p>
    <w:p>
      <w:pPr>
        <w:pStyle w:val="Normal"/>
        <w:numPr>
          <w:ilvl w:val="1"/>
          <w:numId w:val="1"/>
        </w:numPr>
        <w:ind w:left="0" w:hanging="0"/>
        <w:rPr>
          <w:rFonts w:ascii="Arial" w:hAnsi="Arial"/>
          <w:color w:val="000000"/>
          <w:sz w:val="20"/>
          <w:szCs w:val="20"/>
        </w:rPr>
      </w:pPr>
      <w:r>
        <w:rPr>
          <w:rFonts w:ascii="Arial" w:hAnsi="Arial"/>
          <w:color w:val="000000"/>
          <w:sz w:val="20"/>
          <w:szCs w:val="20"/>
        </w:rPr>
        <w:t>Cumprir as leis de trânsito;</w:t>
      </w:r>
    </w:p>
    <w:p>
      <w:pPr>
        <w:pStyle w:val="Normal"/>
        <w:widowControl/>
        <w:numPr>
          <w:ilvl w:val="1"/>
          <w:numId w:val="1"/>
        </w:numPr>
        <w:bidi w:val="0"/>
        <w:ind w:left="680" w:right="0" w:hanging="454"/>
        <w:jc w:val="left"/>
        <w:rPr>
          <w:rFonts w:ascii="Arial" w:hAnsi="Arial"/>
          <w:sz w:val="20"/>
          <w:szCs w:val="20"/>
        </w:rPr>
      </w:pPr>
      <w:r>
        <w:rPr>
          <w:rFonts w:ascii="Arial" w:hAnsi="Arial"/>
          <w:sz w:val="20"/>
          <w:szCs w:val="20"/>
        </w:rPr>
        <w:t>Apresentar-se no horário de serviço devidamente uniformizado;</w:t>
      </w:r>
    </w:p>
    <w:p>
      <w:pPr>
        <w:pStyle w:val="Normal"/>
        <w:widowControl/>
        <w:numPr>
          <w:ilvl w:val="1"/>
          <w:numId w:val="1"/>
        </w:numPr>
        <w:bidi w:val="0"/>
        <w:ind w:left="680" w:right="0" w:hanging="454"/>
        <w:jc w:val="left"/>
        <w:rPr>
          <w:rFonts w:ascii="Arial" w:hAnsi="Arial"/>
          <w:sz w:val="20"/>
          <w:szCs w:val="20"/>
        </w:rPr>
      </w:pPr>
      <w:r>
        <w:rPr>
          <w:rFonts w:ascii="Arial" w:hAnsi="Arial"/>
          <w:sz w:val="20"/>
          <w:szCs w:val="20"/>
        </w:rPr>
        <w:t>Dirigir o veículo de acordo com a legislação de trânsito;</w:t>
      </w:r>
    </w:p>
    <w:p>
      <w:pPr>
        <w:pStyle w:val="Normal"/>
        <w:widowControl/>
        <w:numPr>
          <w:ilvl w:val="1"/>
          <w:numId w:val="1"/>
        </w:numPr>
        <w:bidi w:val="0"/>
        <w:ind w:left="680" w:right="0" w:hanging="454"/>
        <w:jc w:val="left"/>
        <w:rPr>
          <w:rFonts w:ascii="Arial" w:hAnsi="Arial"/>
          <w:sz w:val="20"/>
          <w:szCs w:val="20"/>
        </w:rPr>
      </w:pPr>
      <w:r>
        <w:rPr>
          <w:rFonts w:ascii="Arial" w:hAnsi="Arial"/>
          <w:sz w:val="20"/>
          <w:szCs w:val="20"/>
        </w:rPr>
        <w:t>Portar Carteira Nacional de Habilitação (atualizada), Cédula de Identidade, Carteira Funcional e Certificado de Registro e Licenciamento do Veículo;</w:t>
      </w:r>
    </w:p>
    <w:p>
      <w:pPr>
        <w:pStyle w:val="Normal"/>
        <w:widowControl/>
        <w:numPr>
          <w:ilvl w:val="1"/>
          <w:numId w:val="1"/>
        </w:numPr>
        <w:bidi w:val="0"/>
        <w:ind w:left="680" w:right="0" w:hanging="454"/>
        <w:jc w:val="left"/>
        <w:rPr>
          <w:rFonts w:ascii="Arial" w:hAnsi="Arial"/>
          <w:sz w:val="20"/>
          <w:szCs w:val="20"/>
        </w:rPr>
      </w:pPr>
      <w:r>
        <w:rPr>
          <w:rFonts w:ascii="Arial" w:hAnsi="Arial"/>
          <w:sz w:val="20"/>
          <w:szCs w:val="20"/>
        </w:rPr>
        <w:t>Manter atualizado o exame médico exigido pelo Departamento de Trânsito local;</w:t>
      </w:r>
    </w:p>
    <w:p>
      <w:pPr>
        <w:pStyle w:val="Normal"/>
        <w:widowControl/>
        <w:numPr>
          <w:ilvl w:val="1"/>
          <w:numId w:val="1"/>
        </w:numPr>
        <w:bidi w:val="0"/>
        <w:ind w:left="680" w:right="0" w:hanging="454"/>
        <w:jc w:val="left"/>
        <w:rPr>
          <w:rFonts w:ascii="Arial" w:hAnsi="Arial"/>
          <w:sz w:val="20"/>
          <w:szCs w:val="20"/>
        </w:rPr>
      </w:pPr>
      <w:r>
        <w:rPr>
          <w:rFonts w:ascii="Arial" w:hAnsi="Arial"/>
          <w:sz w:val="20"/>
          <w:szCs w:val="20"/>
        </w:rPr>
        <w:t>Comunicar ao Preposto quaisquer defeitos ou avarias que comprometam o desempenho do veículo ou coloquem em risco o tráfego normal;</w:t>
      </w:r>
    </w:p>
    <w:p>
      <w:pPr>
        <w:pStyle w:val="Normal"/>
        <w:widowControl/>
        <w:numPr>
          <w:ilvl w:val="1"/>
          <w:numId w:val="1"/>
        </w:numPr>
        <w:bidi w:val="0"/>
        <w:ind w:left="680" w:right="0" w:hanging="454"/>
        <w:jc w:val="left"/>
        <w:rPr>
          <w:rFonts w:ascii="Arial" w:hAnsi="Arial"/>
          <w:sz w:val="20"/>
          <w:szCs w:val="20"/>
        </w:rPr>
      </w:pPr>
      <w:r>
        <w:rPr>
          <w:rFonts w:ascii="Arial" w:hAnsi="Arial"/>
          <w:sz w:val="20"/>
          <w:szCs w:val="20"/>
        </w:rPr>
        <w:t>Reparar os danos causados ao IPHAN ou a terceiros por sua exclusiva culpa;</w:t>
      </w:r>
    </w:p>
    <w:p>
      <w:pPr>
        <w:pStyle w:val="Normal"/>
        <w:widowControl/>
        <w:numPr>
          <w:ilvl w:val="1"/>
          <w:numId w:val="1"/>
        </w:numPr>
        <w:bidi w:val="0"/>
        <w:ind w:left="680" w:right="0" w:hanging="454"/>
        <w:jc w:val="left"/>
        <w:rPr>
          <w:rFonts w:ascii="Arial" w:hAnsi="Arial"/>
          <w:sz w:val="20"/>
          <w:szCs w:val="20"/>
        </w:rPr>
      </w:pPr>
      <w:r>
        <w:rPr>
          <w:rFonts w:ascii="Arial" w:hAnsi="Arial"/>
          <w:sz w:val="20"/>
          <w:szCs w:val="20"/>
        </w:rPr>
        <w:t>Zelar pela segurança dos passageiros e materiais transportados;</w:t>
      </w:r>
    </w:p>
    <w:p>
      <w:pPr>
        <w:pStyle w:val="Normal"/>
        <w:widowControl/>
        <w:numPr>
          <w:ilvl w:val="1"/>
          <w:numId w:val="1"/>
        </w:numPr>
        <w:bidi w:val="0"/>
        <w:ind w:left="680" w:right="0" w:hanging="454"/>
        <w:jc w:val="left"/>
        <w:rPr>
          <w:rFonts w:ascii="Arial" w:hAnsi="Arial"/>
          <w:sz w:val="20"/>
          <w:szCs w:val="20"/>
        </w:rPr>
      </w:pPr>
      <w:r>
        <w:rPr>
          <w:rFonts w:ascii="Arial" w:hAnsi="Arial"/>
          <w:sz w:val="20"/>
          <w:szCs w:val="20"/>
        </w:rPr>
        <w:t>Não permitir o embarque de pessoas não autorizadas pelo IPHAN;</w:t>
      </w:r>
    </w:p>
    <w:p>
      <w:pPr>
        <w:pStyle w:val="Normal"/>
        <w:widowControl/>
        <w:numPr>
          <w:ilvl w:val="1"/>
          <w:numId w:val="1"/>
        </w:numPr>
        <w:bidi w:val="0"/>
        <w:ind w:left="680" w:right="0" w:hanging="454"/>
        <w:jc w:val="left"/>
        <w:rPr>
          <w:rFonts w:ascii="Arial" w:hAnsi="Arial"/>
          <w:sz w:val="20"/>
          <w:szCs w:val="20"/>
        </w:rPr>
      </w:pPr>
      <w:r>
        <w:rPr>
          <w:rFonts w:ascii="Arial" w:hAnsi="Arial"/>
          <w:sz w:val="20"/>
          <w:szCs w:val="20"/>
        </w:rPr>
        <w:t>Zelar pela integridade e segurança dos documentos pertinentes ao veículo sob sua responsabilidade;</w:t>
      </w:r>
    </w:p>
    <w:p>
      <w:pPr>
        <w:pStyle w:val="Normal"/>
        <w:widowControl/>
        <w:numPr>
          <w:ilvl w:val="1"/>
          <w:numId w:val="1"/>
        </w:numPr>
        <w:bidi w:val="0"/>
        <w:ind w:left="680" w:right="0" w:hanging="454"/>
        <w:jc w:val="left"/>
        <w:rPr>
          <w:rFonts w:ascii="Arial" w:hAnsi="Arial"/>
          <w:sz w:val="20"/>
          <w:szCs w:val="20"/>
        </w:rPr>
      </w:pPr>
      <w:r>
        <w:rPr>
          <w:rFonts w:ascii="Arial" w:hAnsi="Arial"/>
          <w:sz w:val="20"/>
          <w:szCs w:val="20"/>
        </w:rPr>
        <w:t>Respeitar os limites de velocidade das vias públicas, áreas internas, externas e de estacionamento do IPHAN e de outros órgãos;</w:t>
      </w:r>
    </w:p>
    <w:p>
      <w:pPr>
        <w:pStyle w:val="Normal"/>
        <w:widowControl/>
        <w:numPr>
          <w:ilvl w:val="1"/>
          <w:numId w:val="1"/>
        </w:numPr>
        <w:bidi w:val="0"/>
        <w:ind w:left="680" w:right="0" w:hanging="454"/>
        <w:jc w:val="left"/>
        <w:rPr>
          <w:rFonts w:ascii="Arial" w:hAnsi="Arial"/>
          <w:sz w:val="20"/>
          <w:szCs w:val="20"/>
        </w:rPr>
      </w:pPr>
      <w:r>
        <w:rPr>
          <w:rFonts w:ascii="Arial" w:hAnsi="Arial"/>
          <w:sz w:val="20"/>
          <w:szCs w:val="20"/>
        </w:rPr>
        <w:t>Não fumar no interior dos veículos;</w:t>
      </w:r>
    </w:p>
    <w:p>
      <w:pPr>
        <w:pStyle w:val="Normal"/>
        <w:widowControl/>
        <w:numPr>
          <w:ilvl w:val="1"/>
          <w:numId w:val="1"/>
        </w:numPr>
        <w:bidi w:val="0"/>
        <w:ind w:left="680" w:right="0" w:hanging="454"/>
        <w:jc w:val="left"/>
        <w:rPr>
          <w:rFonts w:ascii="Arial" w:hAnsi="Arial"/>
          <w:sz w:val="20"/>
          <w:szCs w:val="20"/>
        </w:rPr>
      </w:pPr>
      <w:r>
        <w:rPr>
          <w:rFonts w:ascii="Arial" w:hAnsi="Arial"/>
          <w:sz w:val="20"/>
          <w:szCs w:val="20"/>
        </w:rPr>
        <w:t>Não prestar informações sobre endereço, hábitos e costumes dos passageiros transportados;</w:t>
      </w:r>
    </w:p>
    <w:p>
      <w:pPr>
        <w:pStyle w:val="Normal"/>
        <w:widowControl/>
        <w:numPr>
          <w:ilvl w:val="1"/>
          <w:numId w:val="1"/>
        </w:numPr>
        <w:bidi w:val="0"/>
        <w:ind w:left="680" w:right="0" w:hanging="454"/>
        <w:jc w:val="left"/>
        <w:rPr>
          <w:rFonts w:ascii="Arial" w:hAnsi="Arial"/>
          <w:sz w:val="20"/>
          <w:szCs w:val="20"/>
        </w:rPr>
      </w:pPr>
      <w:r>
        <w:rPr>
          <w:rFonts w:ascii="Arial" w:hAnsi="Arial"/>
          <w:sz w:val="20"/>
          <w:szCs w:val="20"/>
        </w:rPr>
        <w:t>Evitar arrancadas e freadas bruscas;</w:t>
      </w:r>
    </w:p>
    <w:p>
      <w:pPr>
        <w:pStyle w:val="Normal"/>
        <w:widowControl/>
        <w:numPr>
          <w:ilvl w:val="1"/>
          <w:numId w:val="1"/>
        </w:numPr>
        <w:bidi w:val="0"/>
        <w:ind w:left="680" w:right="0" w:hanging="454"/>
        <w:jc w:val="left"/>
        <w:rPr>
          <w:rFonts w:ascii="Arial" w:hAnsi="Arial"/>
          <w:sz w:val="20"/>
          <w:szCs w:val="20"/>
        </w:rPr>
      </w:pPr>
      <w:r>
        <w:rPr>
          <w:rFonts w:ascii="Arial" w:hAnsi="Arial"/>
          <w:sz w:val="20"/>
          <w:szCs w:val="20"/>
        </w:rPr>
        <w:t>Atender com respeito e cortesia todos os passageiros transportados demonstrando interesse pelo serviço executado;</w:t>
      </w:r>
    </w:p>
    <w:p>
      <w:pPr>
        <w:pStyle w:val="Normal"/>
        <w:numPr>
          <w:ilvl w:val="1"/>
          <w:numId w:val="1"/>
        </w:numPr>
        <w:ind w:left="0" w:hanging="0"/>
        <w:rPr>
          <w:rFonts w:ascii="Arial" w:hAnsi="Arial"/>
          <w:color w:val="000000"/>
          <w:sz w:val="20"/>
          <w:szCs w:val="20"/>
        </w:rPr>
      </w:pPr>
      <w:r>
        <w:rPr>
          <w:rFonts w:ascii="Arial" w:hAnsi="Arial"/>
          <w:color w:val="000000"/>
          <w:sz w:val="20"/>
          <w:szCs w:val="20"/>
        </w:rPr>
        <w:t>Solicitar a utilização do cinto de segurança de todos os passageiros;</w:t>
      </w:r>
    </w:p>
    <w:p>
      <w:pPr>
        <w:pStyle w:val="Normal"/>
        <w:numPr>
          <w:ilvl w:val="1"/>
          <w:numId w:val="1"/>
        </w:numPr>
        <w:ind w:left="0" w:hanging="0"/>
        <w:rPr>
          <w:rFonts w:ascii="Arial" w:hAnsi="Arial"/>
          <w:sz w:val="20"/>
          <w:szCs w:val="20"/>
        </w:rPr>
      </w:pPr>
      <w:r>
        <w:rPr>
          <w:rFonts w:ascii="Arial" w:hAnsi="Arial"/>
          <w:color w:val="000000"/>
          <w:sz w:val="20"/>
          <w:szCs w:val="20"/>
        </w:rPr>
        <w:t xml:space="preserve">Não utilizar os veículos para tratar de assuntos alheios ao serviço da Contratante e para </w:t>
      </w:r>
      <w:r>
        <w:rPr>
          <w:rFonts w:ascii="Arial" w:hAnsi="Arial"/>
          <w:sz w:val="20"/>
          <w:szCs w:val="20"/>
        </w:rPr>
        <w:t>tratar de assuntos particulares;</w:t>
      </w:r>
    </w:p>
    <w:p>
      <w:pPr>
        <w:pStyle w:val="Normal"/>
        <w:widowControl/>
        <w:numPr>
          <w:ilvl w:val="1"/>
          <w:numId w:val="1"/>
        </w:numPr>
        <w:bidi w:val="0"/>
        <w:ind w:left="737" w:right="0" w:hanging="454"/>
        <w:jc w:val="left"/>
        <w:rPr>
          <w:rFonts w:ascii="Arial" w:hAnsi="Arial"/>
          <w:sz w:val="20"/>
          <w:szCs w:val="20"/>
        </w:rPr>
      </w:pPr>
      <w:r>
        <w:rPr>
          <w:rFonts w:ascii="Arial" w:hAnsi="Arial"/>
          <w:sz w:val="20"/>
          <w:szCs w:val="20"/>
        </w:rPr>
        <w:t>Não ingerir bebidas alcoólicas ou substâncias entorpecentes, em hipótese alguma, quando em serviço;</w:t>
      </w:r>
    </w:p>
    <w:p>
      <w:pPr>
        <w:pStyle w:val="Normal"/>
        <w:widowControl/>
        <w:numPr>
          <w:ilvl w:val="1"/>
          <w:numId w:val="1"/>
        </w:numPr>
        <w:bidi w:val="0"/>
        <w:ind w:left="737" w:right="0" w:hanging="454"/>
        <w:jc w:val="left"/>
        <w:rPr>
          <w:rFonts w:ascii="Arial" w:hAnsi="Arial"/>
          <w:sz w:val="20"/>
          <w:szCs w:val="20"/>
        </w:rPr>
      </w:pPr>
      <w:r>
        <w:rPr>
          <w:rFonts w:ascii="Arial" w:hAnsi="Arial"/>
          <w:sz w:val="20"/>
          <w:szCs w:val="20"/>
        </w:rPr>
        <w:t>Não afixar emblemas ou distintivos de qualquer natureza nos veículos a serviço da Contratante, a não ser os previstos em contrato;</w:t>
      </w:r>
    </w:p>
    <w:p>
      <w:pPr>
        <w:pStyle w:val="Normal"/>
        <w:widowControl/>
        <w:numPr>
          <w:ilvl w:val="1"/>
          <w:numId w:val="1"/>
        </w:numPr>
        <w:bidi w:val="0"/>
        <w:ind w:left="737" w:right="0" w:hanging="454"/>
        <w:jc w:val="left"/>
        <w:rPr>
          <w:rFonts w:ascii="Arial" w:hAnsi="Arial"/>
          <w:sz w:val="20"/>
          <w:szCs w:val="20"/>
        </w:rPr>
      </w:pPr>
      <w:r>
        <w:rPr>
          <w:rFonts w:ascii="Arial" w:hAnsi="Arial"/>
          <w:sz w:val="20"/>
          <w:szCs w:val="20"/>
        </w:rPr>
        <w:t>Manter-se uniformizado;</w:t>
      </w:r>
    </w:p>
    <w:p>
      <w:pPr>
        <w:pStyle w:val="Normal"/>
        <w:widowControl/>
        <w:numPr>
          <w:ilvl w:val="1"/>
          <w:numId w:val="1"/>
        </w:numPr>
        <w:bidi w:val="0"/>
        <w:ind w:left="737" w:right="0" w:hanging="454"/>
        <w:jc w:val="left"/>
        <w:rPr>
          <w:rFonts w:ascii="Arial" w:hAnsi="Arial"/>
          <w:sz w:val="20"/>
          <w:szCs w:val="20"/>
        </w:rPr>
      </w:pPr>
      <w:r>
        <w:rPr>
          <w:rFonts w:ascii="Arial" w:hAnsi="Arial"/>
          <w:sz w:val="20"/>
          <w:szCs w:val="20"/>
        </w:rPr>
        <w:t>Comunicar ao IPHAN a ocorrência de qualquer dano verificado no veículo;</w:t>
      </w:r>
    </w:p>
    <w:p>
      <w:pPr>
        <w:pStyle w:val="Normal"/>
        <w:widowControl/>
        <w:numPr>
          <w:ilvl w:val="1"/>
          <w:numId w:val="1"/>
        </w:numPr>
        <w:bidi w:val="0"/>
        <w:ind w:left="737" w:right="0" w:hanging="454"/>
        <w:jc w:val="left"/>
        <w:rPr>
          <w:rFonts w:ascii="Arial" w:hAnsi="Arial"/>
          <w:sz w:val="20"/>
          <w:szCs w:val="20"/>
        </w:rPr>
      </w:pPr>
      <w:r>
        <w:rPr>
          <w:rFonts w:ascii="Arial" w:hAnsi="Arial"/>
          <w:sz w:val="20"/>
          <w:szCs w:val="20"/>
        </w:rPr>
        <w:t>Manter o veículo a serviço da Contratante sempre em perfeitas condições de limpeza e asseio;</w:t>
      </w:r>
    </w:p>
    <w:p>
      <w:pPr>
        <w:pStyle w:val="Normal"/>
        <w:widowControl/>
        <w:numPr>
          <w:ilvl w:val="1"/>
          <w:numId w:val="1"/>
        </w:numPr>
        <w:bidi w:val="0"/>
        <w:ind w:left="737" w:right="0" w:hanging="454"/>
        <w:jc w:val="left"/>
        <w:rPr>
          <w:rFonts w:ascii="Arial" w:hAnsi="Arial"/>
          <w:sz w:val="20"/>
          <w:szCs w:val="20"/>
        </w:rPr>
      </w:pPr>
      <w:r>
        <w:rPr>
          <w:rFonts w:ascii="Arial" w:hAnsi="Arial"/>
          <w:sz w:val="20"/>
          <w:szCs w:val="20"/>
        </w:rPr>
        <w:t>Manter-se sempre com cabelo aparado e barbeado;</w:t>
      </w:r>
    </w:p>
    <w:p>
      <w:pPr>
        <w:pStyle w:val="Normal"/>
        <w:widowControl/>
        <w:numPr>
          <w:ilvl w:val="1"/>
          <w:numId w:val="1"/>
        </w:numPr>
        <w:bidi w:val="0"/>
        <w:ind w:left="737" w:right="0" w:hanging="454"/>
        <w:jc w:val="left"/>
        <w:rPr>
          <w:rFonts w:ascii="Arial" w:hAnsi="Arial"/>
          <w:sz w:val="20"/>
          <w:szCs w:val="20"/>
        </w:rPr>
      </w:pPr>
      <w:r>
        <w:rPr>
          <w:rFonts w:ascii="Arial" w:hAnsi="Arial"/>
          <w:sz w:val="20"/>
          <w:szCs w:val="20"/>
        </w:rPr>
        <w:t>Escolher sempre o melhor trajeto, evitando congestionamentos, observando as normas de trânsito;</w:t>
      </w:r>
    </w:p>
    <w:p>
      <w:pPr>
        <w:pStyle w:val="Normal"/>
        <w:widowControl/>
        <w:numPr>
          <w:ilvl w:val="1"/>
          <w:numId w:val="1"/>
        </w:numPr>
        <w:bidi w:val="0"/>
        <w:ind w:left="737" w:right="0" w:hanging="454"/>
        <w:jc w:val="left"/>
        <w:rPr>
          <w:rFonts w:ascii="Arial" w:hAnsi="Arial"/>
          <w:sz w:val="20"/>
          <w:szCs w:val="20"/>
        </w:rPr>
      </w:pPr>
      <w:r>
        <w:rPr>
          <w:rFonts w:ascii="Arial" w:hAnsi="Arial"/>
          <w:sz w:val="20"/>
          <w:szCs w:val="20"/>
        </w:rPr>
        <w:t>Manter-se atento quando estacionado, evitando dormir ou distrair-se com leitura;</w:t>
      </w:r>
    </w:p>
    <w:p>
      <w:pPr>
        <w:pStyle w:val="Normal"/>
        <w:widowControl/>
        <w:numPr>
          <w:ilvl w:val="1"/>
          <w:numId w:val="1"/>
        </w:numPr>
        <w:bidi w:val="0"/>
        <w:ind w:left="737" w:right="0" w:hanging="454"/>
        <w:jc w:val="left"/>
        <w:rPr>
          <w:rFonts w:ascii="Arial" w:hAnsi="Arial"/>
          <w:sz w:val="20"/>
          <w:szCs w:val="20"/>
        </w:rPr>
      </w:pPr>
      <w:r>
        <w:rPr>
          <w:rFonts w:ascii="Arial" w:hAnsi="Arial"/>
          <w:sz w:val="20"/>
          <w:szCs w:val="20"/>
        </w:rPr>
        <w:t>Abrir a porta para os passageiros, sempre que possível, tanto no embarque e desembarque;</w:t>
      </w:r>
    </w:p>
    <w:p>
      <w:pPr>
        <w:pStyle w:val="Normal"/>
        <w:widowControl/>
        <w:numPr>
          <w:ilvl w:val="1"/>
          <w:numId w:val="1"/>
        </w:numPr>
        <w:bidi w:val="0"/>
        <w:ind w:left="737" w:right="0" w:hanging="454"/>
        <w:jc w:val="left"/>
        <w:rPr>
          <w:rFonts w:ascii="Arial" w:hAnsi="Arial"/>
          <w:sz w:val="20"/>
          <w:szCs w:val="20"/>
        </w:rPr>
      </w:pPr>
      <w:r>
        <w:rPr>
          <w:rFonts w:ascii="Arial" w:hAnsi="Arial"/>
          <w:sz w:val="20"/>
          <w:szCs w:val="20"/>
        </w:rPr>
        <w:t>Estacionar os veículos sempre em locais permitidos e iluminados;</w:t>
      </w:r>
    </w:p>
    <w:p>
      <w:pPr>
        <w:pStyle w:val="Normal"/>
        <w:widowControl/>
        <w:numPr>
          <w:ilvl w:val="1"/>
          <w:numId w:val="1"/>
        </w:numPr>
        <w:bidi w:val="0"/>
        <w:ind w:left="737" w:right="0" w:hanging="454"/>
        <w:jc w:val="left"/>
        <w:rPr>
          <w:rFonts w:ascii="Arial" w:hAnsi="Arial"/>
          <w:sz w:val="20"/>
          <w:szCs w:val="20"/>
        </w:rPr>
      </w:pPr>
      <w:r>
        <w:rPr>
          <w:rFonts w:ascii="Arial" w:hAnsi="Arial"/>
          <w:sz w:val="20"/>
          <w:szCs w:val="20"/>
        </w:rPr>
        <w:t>Nunca parar os veículos por solicitação de estranhos;</w:t>
      </w:r>
    </w:p>
    <w:p>
      <w:pPr>
        <w:pStyle w:val="Normal"/>
        <w:widowControl/>
        <w:numPr>
          <w:ilvl w:val="1"/>
          <w:numId w:val="1"/>
        </w:numPr>
        <w:bidi w:val="0"/>
        <w:ind w:left="737" w:right="0" w:hanging="454"/>
        <w:jc w:val="left"/>
        <w:rPr>
          <w:rFonts w:ascii="Arial" w:hAnsi="Arial"/>
          <w:sz w:val="20"/>
          <w:szCs w:val="20"/>
        </w:rPr>
      </w:pPr>
      <w:r>
        <w:rPr>
          <w:rFonts w:ascii="Arial" w:hAnsi="Arial"/>
          <w:sz w:val="20"/>
          <w:szCs w:val="20"/>
        </w:rPr>
        <w:t>Redobrar a atenção em dias chuvosos;</w:t>
      </w:r>
    </w:p>
    <w:p>
      <w:pPr>
        <w:pStyle w:val="Normal"/>
        <w:widowControl/>
        <w:numPr>
          <w:ilvl w:val="1"/>
          <w:numId w:val="1"/>
        </w:numPr>
        <w:bidi w:val="0"/>
        <w:ind w:left="737" w:right="0" w:hanging="454"/>
        <w:jc w:val="left"/>
        <w:rPr>
          <w:rFonts w:ascii="Arial" w:hAnsi="Arial"/>
          <w:sz w:val="20"/>
          <w:szCs w:val="20"/>
        </w:rPr>
      </w:pPr>
      <w:r>
        <w:rPr>
          <w:rFonts w:ascii="Arial" w:hAnsi="Arial"/>
          <w:sz w:val="20"/>
          <w:szCs w:val="20"/>
        </w:rPr>
        <w:t>Respeitar os semáforos, passagens de pedestres, barreiras eletrônicas, proximidades de escolas e hospitais e todos os outros locais que necessitem de maior atenção para cumprimento das normas de trânsito;</w:t>
      </w:r>
    </w:p>
    <w:p>
      <w:pPr>
        <w:pStyle w:val="Normal"/>
        <w:widowControl/>
        <w:numPr>
          <w:ilvl w:val="1"/>
          <w:numId w:val="1"/>
        </w:numPr>
        <w:bidi w:val="0"/>
        <w:ind w:left="737" w:right="0" w:hanging="454"/>
        <w:jc w:val="left"/>
        <w:rPr>
          <w:rFonts w:ascii="Arial" w:hAnsi="Arial"/>
          <w:sz w:val="20"/>
          <w:szCs w:val="20"/>
        </w:rPr>
      </w:pPr>
      <w:r>
        <w:rPr>
          <w:rFonts w:ascii="Arial" w:hAnsi="Arial"/>
          <w:sz w:val="20"/>
          <w:szCs w:val="20"/>
        </w:rPr>
        <w:t>Não iniciar conversações com os passageiros e falar somente quando solicitado;</w:t>
      </w:r>
    </w:p>
    <w:p>
      <w:pPr>
        <w:pStyle w:val="Normal"/>
        <w:widowControl/>
        <w:numPr>
          <w:ilvl w:val="1"/>
          <w:numId w:val="1"/>
        </w:numPr>
        <w:bidi w:val="0"/>
        <w:ind w:left="737" w:right="0" w:hanging="454"/>
        <w:jc w:val="left"/>
        <w:rPr>
          <w:rFonts w:ascii="Arial" w:hAnsi="Arial"/>
          <w:sz w:val="20"/>
          <w:szCs w:val="20"/>
        </w:rPr>
      </w:pPr>
      <w:r>
        <w:rPr>
          <w:rFonts w:ascii="Arial" w:hAnsi="Arial"/>
          <w:sz w:val="20"/>
          <w:szCs w:val="20"/>
        </w:rPr>
        <w:t>Não ligar rádio e ar condicionado sem a concordância dos passageiros;</w:t>
      </w:r>
    </w:p>
    <w:p>
      <w:pPr>
        <w:pStyle w:val="Normal"/>
        <w:widowControl/>
        <w:numPr>
          <w:ilvl w:val="1"/>
          <w:numId w:val="1"/>
        </w:numPr>
        <w:bidi w:val="0"/>
        <w:ind w:left="737" w:right="0" w:hanging="454"/>
        <w:jc w:val="left"/>
        <w:rPr>
          <w:rFonts w:ascii="Arial" w:hAnsi="Arial"/>
          <w:sz w:val="20"/>
          <w:szCs w:val="20"/>
        </w:rPr>
      </w:pPr>
      <w:r>
        <w:rPr>
          <w:rFonts w:ascii="Arial" w:hAnsi="Arial"/>
          <w:sz w:val="20"/>
          <w:szCs w:val="20"/>
        </w:rPr>
        <w:t>Não desobedecer às determinações do IPHAN;</w:t>
      </w:r>
    </w:p>
    <w:p>
      <w:pPr>
        <w:pStyle w:val="Normal"/>
        <w:numPr>
          <w:ilvl w:val="1"/>
          <w:numId w:val="1"/>
        </w:numPr>
        <w:ind w:left="0" w:hanging="0"/>
        <w:rPr>
          <w:rFonts w:ascii="Arial" w:hAnsi="Arial"/>
          <w:color w:val="000000"/>
          <w:sz w:val="20"/>
          <w:szCs w:val="20"/>
        </w:rPr>
      </w:pPr>
      <w:r>
        <w:rPr>
          <w:rFonts w:ascii="Arial" w:hAnsi="Arial"/>
          <w:color w:val="000000"/>
          <w:sz w:val="20"/>
          <w:szCs w:val="20"/>
        </w:rPr>
        <w:t>Executar todas as atividades inerentes à função de motorista.</w:t>
      </w:r>
    </w:p>
    <w:p>
      <w:pPr>
        <w:pStyle w:val="Nivel01"/>
        <w:numPr>
          <w:ilvl w:val="0"/>
          <w:numId w:val="1"/>
        </w:numPr>
        <w:ind w:left="0" w:hanging="0"/>
        <w:rPr>
          <w:color w:val="000000"/>
        </w:rPr>
      </w:pPr>
      <w:commentRangeStart w:id="13"/>
      <w:r>
        <w:rPr>
          <w:color w:val="000000"/>
        </w:rPr>
        <w:t>CLÁUSULA DÉCIMA- OBRIGAÇÕES PERTINENTES À LGPD</w:t>
      </w:r>
      <w:commentRangeEnd w:id="13"/>
      <w:r>
        <w:commentReference w:id="13"/>
      </w:r>
      <w:r>
        <w:rPr>
          <w:color w:val="000000"/>
        </w:rPr>
      </w:r>
    </w:p>
    <w:p>
      <w:pPr>
        <w:pStyle w:val="Nvel2Red"/>
        <w:widowControl/>
        <w:numPr>
          <w:ilvl w:val="1"/>
          <w:numId w:val="1"/>
        </w:numPr>
        <w:bidi w:val="0"/>
        <w:spacing w:lineRule="auto" w:line="276" w:before="120" w:after="120"/>
        <w:ind w:left="737" w:right="0" w:hanging="454"/>
        <w:jc w:val="both"/>
        <w:rPr/>
      </w:pPr>
      <w:r>
        <w:rPr>
          <w:color w:val="000000"/>
        </w:rPr>
        <w:t xml:space="preserve">As partes deverão cumprir a </w:t>
      </w:r>
      <w:hyperlink r:id="rId4">
        <w:r>
          <w:rPr>
            <w:rStyle w:val="LinkdaInternet"/>
            <w:color w:val="000000"/>
          </w:rPr>
          <w:t>Lei nº 13.709, de 14 de agosto de 2018 (LGPD)</w:t>
        </w:r>
      </w:hyperlink>
      <w:r>
        <w:rPr>
          <w:color w:val="000000"/>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pPr>
        <w:pStyle w:val="Nvel2Red"/>
        <w:widowControl/>
        <w:numPr>
          <w:ilvl w:val="1"/>
          <w:numId w:val="1"/>
        </w:numPr>
        <w:bidi w:val="0"/>
        <w:spacing w:lineRule="auto" w:line="276" w:before="120" w:after="120"/>
        <w:ind w:left="737" w:right="0" w:hanging="454"/>
        <w:jc w:val="both"/>
        <w:rPr/>
      </w:pPr>
      <w:r>
        <w:rPr>
          <w:color w:val="000000"/>
        </w:rPr>
        <w:t xml:space="preserve">Os dados obtidos somente poderão ser utilizados para as finalidades que justificaram seu acesso e de acordo com a boa-fé e com os princípios do </w:t>
      </w:r>
      <w:r>
        <w:fldChar w:fldCharType="begin"/>
      </w:r>
      <w:r>
        <w:rPr>
          <w:rStyle w:val="LinkdaInternet"/>
        </w:rPr>
        <w:instrText> HYPERLINK "https://www.planalto.gov.br/ccivil_03/_ato2015-2018/2018/lei/l13709.htm" \l "art6"</w:instrText>
      </w:r>
      <w:r>
        <w:rPr>
          <w:rStyle w:val="LinkdaInternet"/>
        </w:rPr>
        <w:fldChar w:fldCharType="separate"/>
      </w:r>
      <w:r>
        <w:rPr>
          <w:rStyle w:val="LinkdaInternet"/>
          <w:color w:val="000000"/>
        </w:rPr>
        <w:t>art. 6º da LGPD</w:t>
      </w:r>
      <w:r>
        <w:rPr>
          <w:rStyle w:val="LinkdaInternet"/>
        </w:rPr>
        <w:fldChar w:fldCharType="end"/>
      </w:r>
      <w:r>
        <w:rPr>
          <w:color w:val="000000"/>
        </w:rPr>
        <w:t xml:space="preserve">. </w:t>
      </w:r>
    </w:p>
    <w:p>
      <w:pPr>
        <w:pStyle w:val="Nvel2Red"/>
        <w:widowControl/>
        <w:numPr>
          <w:ilvl w:val="1"/>
          <w:numId w:val="1"/>
        </w:numPr>
        <w:bidi w:val="0"/>
        <w:spacing w:lineRule="auto" w:line="276" w:before="120" w:after="120"/>
        <w:ind w:left="737" w:right="0" w:hanging="454"/>
        <w:jc w:val="both"/>
        <w:rPr>
          <w:color w:val="000000"/>
        </w:rPr>
      </w:pPr>
      <w:r>
        <w:rPr>
          <w:color w:val="000000"/>
        </w:rPr>
        <w:t>É vedado o compartilhamento com terceiros dos dados obtidos fora das hipóteses permitidas em Lei.</w:t>
      </w:r>
    </w:p>
    <w:p>
      <w:pPr>
        <w:pStyle w:val="Nvel2Red"/>
        <w:widowControl/>
        <w:numPr>
          <w:ilvl w:val="1"/>
          <w:numId w:val="1"/>
        </w:numPr>
        <w:bidi w:val="0"/>
        <w:spacing w:lineRule="auto" w:line="276" w:before="120" w:after="120"/>
        <w:ind w:left="737" w:right="0" w:hanging="454"/>
        <w:jc w:val="both"/>
        <w:rPr>
          <w:color w:val="000000"/>
        </w:rPr>
      </w:pPr>
      <w:r>
        <w:rPr>
          <w:color w:val="000000"/>
        </w:rPr>
        <w:t xml:space="preserve">A Administração deverá ser informada no prazo de 5 (cinco) dias úteis sobre todos os contratos de suboperação firmados ou que venham a ser celebrados pelo Contratado. </w:t>
      </w:r>
    </w:p>
    <w:p>
      <w:pPr>
        <w:pStyle w:val="Nvel2Red"/>
        <w:widowControl/>
        <w:numPr>
          <w:ilvl w:val="1"/>
          <w:numId w:val="1"/>
        </w:numPr>
        <w:bidi w:val="0"/>
        <w:spacing w:lineRule="auto" w:line="276" w:before="120" w:after="120"/>
        <w:ind w:left="737" w:right="0" w:hanging="454"/>
        <w:jc w:val="both"/>
        <w:rPr/>
      </w:pPr>
      <w:r>
        <w:rPr>
          <w:color w:val="000000"/>
        </w:rPr>
        <w:t xml:space="preserve">Terminado o tratamento dos dados nos termos do </w:t>
      </w:r>
      <w:r>
        <w:fldChar w:fldCharType="begin"/>
      </w:r>
      <w:r>
        <w:rPr>
          <w:rStyle w:val="LinkdaInternet"/>
        </w:rPr>
        <w:instrText> HYPERLINK "https://www.planalto.gov.br/ccivil_03/_ato2015-2018/2018/lei/l13709.htm" \l "art15"</w:instrText>
      </w:r>
      <w:r>
        <w:rPr>
          <w:rStyle w:val="LinkdaInternet"/>
        </w:rPr>
        <w:fldChar w:fldCharType="separate"/>
      </w:r>
      <w:r>
        <w:rPr>
          <w:rStyle w:val="LinkdaInternet"/>
          <w:color w:val="000000"/>
        </w:rPr>
        <w:t>art. 15 da LGPD</w:t>
      </w:r>
      <w:r>
        <w:rPr>
          <w:rStyle w:val="LinkdaInternet"/>
        </w:rPr>
        <w:fldChar w:fldCharType="end"/>
      </w:r>
      <w:r>
        <w:rPr>
          <w:color w:val="000000"/>
        </w:rPr>
        <w:t xml:space="preserve">, é dever do contratado eliminá-los, com exceção das hipóteses do </w:t>
      </w:r>
      <w:r>
        <w:fldChar w:fldCharType="begin"/>
      </w:r>
      <w:r>
        <w:rPr>
          <w:rStyle w:val="LinkdaInternet"/>
        </w:rPr>
        <w:instrText> HYPERLINK "https://www.planalto.gov.br/ccivil_03/_ato2015-2018/2018/lei/l13709.htm" \l "art16"</w:instrText>
      </w:r>
      <w:r>
        <w:rPr>
          <w:rStyle w:val="LinkdaInternet"/>
        </w:rPr>
        <w:fldChar w:fldCharType="separate"/>
      </w:r>
      <w:r>
        <w:rPr>
          <w:rStyle w:val="LinkdaInternet"/>
          <w:color w:val="000000"/>
        </w:rPr>
        <w:t>art. 16 da LGPD</w:t>
      </w:r>
      <w:r>
        <w:rPr>
          <w:rStyle w:val="LinkdaInternet"/>
        </w:rPr>
        <w:fldChar w:fldCharType="end"/>
      </w:r>
      <w:r>
        <w:rPr>
          <w:color w:val="000000"/>
        </w:rPr>
        <w:t xml:space="preserve">, incluindo aquelas em que houver necessidade de guarda de documentação para fins de comprovação do cumprimento de obrigações legais ou contratuais e somente enquanto não prescritas essas obrigações. </w:t>
      </w:r>
    </w:p>
    <w:p>
      <w:pPr>
        <w:pStyle w:val="Nvel2Red"/>
        <w:widowControl/>
        <w:numPr>
          <w:ilvl w:val="1"/>
          <w:numId w:val="1"/>
        </w:numPr>
        <w:bidi w:val="0"/>
        <w:spacing w:lineRule="auto" w:line="276" w:before="120" w:after="120"/>
        <w:ind w:left="737" w:right="0" w:hanging="454"/>
        <w:jc w:val="both"/>
        <w:rPr>
          <w:color w:val="000000"/>
        </w:rPr>
      </w:pPr>
      <w:commentRangeStart w:id="14"/>
      <w:r>
        <w:rPr>
          <w:color w:val="000000"/>
        </w:rPr>
        <w:t xml:space="preserve">É dever do contratado orientar e treinar seus empregados sobre os deveres, requisitos e responsabilidades decorrentes da LGPD. </w:t>
      </w:r>
      <w:commentRangeEnd w:id="14"/>
      <w:r>
        <w:commentReference w:id="14"/>
      </w:r>
      <w:r>
        <w:rPr>
          <w:color w:val="000000"/>
        </w:rPr>
      </w:r>
    </w:p>
    <w:p>
      <w:pPr>
        <w:pStyle w:val="Nvel2Red"/>
        <w:widowControl/>
        <w:numPr>
          <w:ilvl w:val="1"/>
          <w:numId w:val="1"/>
        </w:numPr>
        <w:bidi w:val="0"/>
        <w:spacing w:lineRule="auto" w:line="276" w:before="120" w:after="120"/>
        <w:ind w:left="737" w:right="0" w:hanging="454"/>
        <w:jc w:val="both"/>
        <w:rPr>
          <w:color w:val="000000"/>
        </w:rPr>
      </w:pPr>
      <w:r>
        <w:rPr>
          <w:color w:val="000000"/>
        </w:rPr>
        <w:t>O Contratado deverá exigir de suboperadores e subcontratados o cumprimento dos deveres da presente cláusula, permanecendo integralmente responsável por garantir sua observância.</w:t>
      </w:r>
    </w:p>
    <w:p>
      <w:pPr>
        <w:pStyle w:val="Nvel2Red"/>
        <w:widowControl/>
        <w:numPr>
          <w:ilvl w:val="1"/>
          <w:numId w:val="1"/>
        </w:numPr>
        <w:bidi w:val="0"/>
        <w:spacing w:lineRule="auto" w:line="276" w:before="120" w:after="120"/>
        <w:ind w:left="737" w:right="0" w:hanging="454"/>
        <w:jc w:val="both"/>
        <w:rPr>
          <w:color w:val="000000"/>
        </w:rPr>
      </w:pPr>
      <w:commentRangeStart w:id="15"/>
      <w:r>
        <w:rPr>
          <w:color w:val="000000"/>
        </w:rPr>
        <w:t xml:space="preserve">O Contratante poderá realizar diligência para aferir o cumprimento dessa cláusula, devendo o Contratado atender prontamente eventuais pedidos de comprovação formulados. </w:t>
      </w:r>
      <w:commentRangeEnd w:id="15"/>
      <w:r>
        <w:commentReference w:id="15"/>
      </w:r>
      <w:r>
        <w:rPr>
          <w:color w:val="000000"/>
        </w:rPr>
      </w:r>
    </w:p>
    <w:p>
      <w:pPr>
        <w:pStyle w:val="Nvel2Red"/>
        <w:widowControl/>
        <w:numPr>
          <w:ilvl w:val="1"/>
          <w:numId w:val="1"/>
        </w:numPr>
        <w:bidi w:val="0"/>
        <w:spacing w:lineRule="auto" w:line="276" w:before="120" w:after="120"/>
        <w:ind w:left="737" w:right="0" w:hanging="454"/>
        <w:jc w:val="both"/>
        <w:rPr>
          <w:color w:val="000000"/>
        </w:rPr>
      </w:pPr>
      <w:r>
        <w:rPr>
          <w:color w:val="000000"/>
        </w:rPr>
        <w:t xml:space="preserve">O Contratado deverá prestar, no prazo fixado pelo Contratante, prorrogável justificadamente, quaisquer informações acerca dos dados pessoais para cumprimento da LGPD, inclusive quanto a eventual descarte realizado. </w:t>
      </w:r>
    </w:p>
    <w:p>
      <w:pPr>
        <w:pStyle w:val="Nvel2Red"/>
        <w:widowControl/>
        <w:numPr>
          <w:ilvl w:val="1"/>
          <w:numId w:val="1"/>
        </w:numPr>
        <w:bidi w:val="0"/>
        <w:spacing w:lineRule="auto" w:line="276" w:before="120" w:after="120"/>
        <w:ind w:left="737" w:right="0" w:hanging="454"/>
        <w:jc w:val="both"/>
        <w:rPr/>
      </w:pPr>
      <w:r>
        <w:rPr>
          <w:color w:val="000000"/>
        </w:rPr>
        <w:t>Bancos de dados formados a partir de contratos administrativos, notadamente aqueles que se proponham a armazenar dados pessoais, devem ser mantidos em ambiente virtual controlado, com registro individual rastreável de tratamentos realizados (</w:t>
      </w:r>
      <w:hyperlink r:id="rId5">
        <w:r>
          <w:rPr>
            <w:rStyle w:val="LinkdaInternet"/>
            <w:color w:val="000000"/>
          </w:rPr>
          <w:t>LGPD, art. 37</w:t>
        </w:r>
      </w:hyperlink>
      <w:r>
        <w:rPr>
          <w:color w:val="000000"/>
        </w:rPr>
        <w:t>), com cada acesso, data, horário e registro da finalidade, para efeito de responsabilização, em caso de eventuais omissões, desvios ou abusos.</w:t>
      </w:r>
    </w:p>
    <w:p>
      <w:pPr>
        <w:pStyle w:val="Nvel3R"/>
        <w:widowControl/>
        <w:numPr>
          <w:ilvl w:val="1"/>
          <w:numId w:val="1"/>
        </w:numPr>
        <w:bidi w:val="0"/>
        <w:spacing w:lineRule="auto" w:line="276" w:before="120" w:after="120"/>
        <w:ind w:left="737" w:right="0" w:hanging="454"/>
        <w:jc w:val="both"/>
        <w:rPr>
          <w:color w:val="000000"/>
        </w:rPr>
      </w:pPr>
      <w:r>
        <w:rPr>
          <w:color w:val="000000"/>
        </w:rPr>
        <w:t>Os referidos bancos de dados devem ser desenvolvidos em formato interoperável, a fim de garantir a reutilização desses dados pela Administração nas hipóteses previstas na LGPD.</w:t>
      </w:r>
    </w:p>
    <w:p>
      <w:pPr>
        <w:pStyle w:val="Nvel2Red"/>
        <w:widowControl/>
        <w:numPr>
          <w:ilvl w:val="1"/>
          <w:numId w:val="1"/>
        </w:numPr>
        <w:bidi w:val="0"/>
        <w:spacing w:lineRule="auto" w:line="276" w:before="120" w:after="120"/>
        <w:ind w:left="737" w:right="0" w:hanging="454"/>
        <w:jc w:val="both"/>
        <w:rPr>
          <w:color w:val="000000"/>
        </w:rPr>
      </w:pPr>
      <w:r>
        <w:rPr>
          <w:color w:val="000000"/>
        </w:rPr>
        <w:t>O contrato está sujeito a ser alterado nos procedimentos pertinentes ao tratamento de dados pessoais, quando indicado pela autoridade competente, em especial a ANPD por meio de opiniões técnicas ou recomendações, editadas na forma da LGPD.</w:t>
      </w:r>
    </w:p>
    <w:p>
      <w:pPr>
        <w:pStyle w:val="Nvel2Red"/>
        <w:widowControl/>
        <w:numPr>
          <w:ilvl w:val="1"/>
          <w:numId w:val="1"/>
        </w:numPr>
        <w:bidi w:val="0"/>
        <w:spacing w:lineRule="auto" w:line="276" w:before="120" w:after="120"/>
        <w:ind w:left="680" w:right="0" w:hanging="454"/>
        <w:jc w:val="both"/>
        <w:rPr/>
      </w:pPr>
      <w:r>
        <w:rPr>
          <w:color w:val="000000"/>
        </w:rPr>
        <w:t xml:space="preserve">Os contratos e convênios de que trata o </w:t>
      </w:r>
      <w:r>
        <w:fldChar w:fldCharType="begin"/>
      </w:r>
      <w:r>
        <w:rPr>
          <w:rStyle w:val="LinkdaInternet"/>
        </w:rPr>
        <w:instrText> HYPERLINK "https://www.planalto.gov.br/ccivil_03/_ato2015-2018/2018/lei/l13709.htm" \l "art26§1"</w:instrText>
      </w:r>
      <w:r>
        <w:rPr>
          <w:rStyle w:val="LinkdaInternet"/>
        </w:rPr>
        <w:fldChar w:fldCharType="separate"/>
      </w:r>
      <w:r>
        <w:rPr>
          <w:rStyle w:val="LinkdaInternet"/>
          <w:color w:val="000000"/>
        </w:rPr>
        <w:t>§ 1º do art. 26 da LGPD</w:t>
      </w:r>
      <w:r>
        <w:rPr>
          <w:rStyle w:val="LinkdaInternet"/>
        </w:rPr>
        <w:fldChar w:fldCharType="end"/>
      </w:r>
      <w:commentRangeStart w:id="16"/>
      <w:r>
        <w:rPr>
          <w:color w:val="000000"/>
        </w:rPr>
        <w:t xml:space="preserve"> deverão ser comunicados à autoridade nacional.</w:t>
      </w:r>
      <w:commentRangeEnd w:id="16"/>
      <w:r>
        <w:commentReference w:id="16"/>
      </w:r>
      <w:r>
        <w:rPr>
          <w:color w:val="000000"/>
        </w:rPr>
      </w:r>
    </w:p>
    <w:p>
      <w:pPr>
        <w:pStyle w:val="Nivel01"/>
        <w:numPr>
          <w:ilvl w:val="0"/>
          <w:numId w:val="1"/>
        </w:numPr>
        <w:ind w:left="0" w:hanging="0"/>
        <w:rPr>
          <w:color w:val="FFFFFF" w:themeColor="background1"/>
        </w:rPr>
      </w:pPr>
      <w:r>
        <w:rPr>
          <w:color w:val="000000"/>
        </w:rPr>
        <w:t>CLÁUSULA DÉCIMA PRIMEIRA – GARANTIA DE EXECUÇÃO (</w:t>
      </w:r>
      <w:r>
        <w:fldChar w:fldCharType="begin"/>
      </w:r>
      <w:r>
        <w:rPr>
          <w:rStyle w:val="LinkdaInternet"/>
        </w:rPr>
        <w:instrText> HYPERLINK "http://www.planalto.gov.br/ccivil_03/_ato2019-2022/2021/lei/L14133.htm" \l "art92"</w:instrText>
      </w:r>
      <w:r>
        <w:rPr>
          <w:rStyle w:val="LinkdaInternet"/>
        </w:rPr>
        <w:fldChar w:fldCharType="separate"/>
      </w:r>
      <w:commentRangeStart w:id="17"/>
      <w:commentRangeStart w:id="18"/>
      <w:r>
        <w:rPr>
          <w:rStyle w:val="LinkdaInternet"/>
          <w:color w:val="000000"/>
        </w:rPr>
        <w:t>art. 92, XII</w:t>
      </w:r>
      <w:r>
        <w:rPr>
          <w:rStyle w:val="LinkdaInternet"/>
        </w:rPr>
        <w:fldChar w:fldCharType="end"/>
      </w:r>
      <w:r>
        <w:rPr>
          <w:rStyle w:val="LinkdaInternet"/>
          <w:color w:val="000000"/>
        </w:rPr>
      </w:r>
      <w:commentRangeEnd w:id="18"/>
      <w:r>
        <w:commentReference w:id="18"/>
      </w:r>
      <w:r>
        <w:rPr>
          <w:rStyle w:val="LinkdaInternet"/>
          <w:color w:val="000000"/>
        </w:rPr>
      </w:r>
      <w:commentRangeEnd w:id="17"/>
      <w:r>
        <w:commentReference w:id="17"/>
      </w:r>
      <w:r>
        <w:rPr>
          <w:color w:val="000000"/>
        </w:rPr>
        <w:t xml:space="preserve">) </w:t>
      </w:r>
    </w:p>
    <w:p>
      <w:pPr>
        <w:pStyle w:val="Nvel2Red"/>
        <w:widowControl/>
        <w:numPr>
          <w:ilvl w:val="1"/>
          <w:numId w:val="1"/>
        </w:numPr>
        <w:bidi w:val="0"/>
        <w:spacing w:lineRule="auto" w:line="276" w:before="120" w:after="120"/>
        <w:ind w:left="680" w:right="0" w:hanging="454"/>
        <w:jc w:val="both"/>
        <w:rPr/>
      </w:pPr>
      <w:r>
        <w:rPr>
          <w:color w:val="000000"/>
        </w:rPr>
        <w:t xml:space="preserve">A contratação conta com garantia de execução, nos moldes do </w:t>
      </w:r>
      <w:r>
        <w:fldChar w:fldCharType="begin"/>
      </w:r>
      <w:r>
        <w:rPr>
          <w:rStyle w:val="LinkdaInternet"/>
        </w:rPr>
        <w:instrText> HYPERLINK "http://www.planalto.gov.br/ccivil_03/_ato2019-2022/2021/lei/L14133.htm" \l "art96"</w:instrText>
      </w:r>
      <w:r>
        <w:rPr>
          <w:rStyle w:val="LinkdaInternet"/>
        </w:rPr>
        <w:fldChar w:fldCharType="separate"/>
      </w:r>
      <w:r>
        <w:rPr>
          <w:rStyle w:val="LinkdaInternet"/>
          <w:color w:val="000000"/>
        </w:rPr>
        <w:t>art. 96 da Lei nº 14.133, de 2021</w:t>
      </w:r>
      <w:r>
        <w:rPr>
          <w:rStyle w:val="LinkdaInternet"/>
        </w:rPr>
        <w:fldChar w:fldCharType="end"/>
      </w:r>
      <w:r>
        <w:rPr>
          <w:color w:val="000000"/>
        </w:rPr>
        <w:t xml:space="preserve">, </w:t>
      </w:r>
      <w:r>
        <w:rPr>
          <w:strike/>
          <w:color w:val="000000"/>
        </w:rPr>
        <w:t xml:space="preserve">na modalidade XXXXXX, </w:t>
      </w:r>
      <w:r>
        <w:rPr>
          <w:color w:val="000000"/>
        </w:rPr>
        <w:t xml:space="preserve">em valor correspondente a 5% (cinco por cento) do valor total/anual do </w:t>
      </w:r>
      <w:commentRangeStart w:id="19"/>
      <w:r>
        <w:rPr>
          <w:color w:val="000000"/>
        </w:rPr>
        <w:t>contrato</w:t>
      </w:r>
      <w:r>
        <w:rPr>
          <w:color w:val="000000"/>
        </w:rPr>
      </w:r>
      <w:commentRangeEnd w:id="19"/>
      <w:r>
        <w:commentReference w:id="19"/>
      </w:r>
      <w:r>
        <w:rPr>
          <w:color w:val="000000"/>
        </w:rPr>
        <w:t>, limitada ao equivalente a 2 (dois) meses do custo da folha de pagamento dos empregados da contratada que venham a participar da execução dos serviços contratados.</w:t>
      </w:r>
    </w:p>
    <w:p>
      <w:pPr>
        <w:pStyle w:val="Nvel2Red"/>
        <w:widowControl/>
        <w:numPr>
          <w:ilvl w:val="1"/>
          <w:numId w:val="1"/>
        </w:numPr>
        <w:bidi w:val="0"/>
        <w:spacing w:lineRule="auto" w:line="276" w:before="120" w:after="120"/>
        <w:ind w:left="680" w:right="0" w:hanging="454"/>
        <w:jc w:val="both"/>
        <w:rPr>
          <w:color w:val="000000"/>
        </w:rPr>
      </w:pPr>
      <w:r>
        <w:rPr>
          <w:color w:val="000000"/>
        </w:rPr>
        <w:t>Caso utilizada a modalidade de seguro-garantia, a apólice deverá ter validade durante a vigência do contrato e por mais 90 (noventa) dias após o término da vigência contratual, permanecendo em vigor mesmo que o contratado não pague o prêmio nas datas convencionadas.  </w:t>
      </w:r>
    </w:p>
    <w:p>
      <w:pPr>
        <w:pStyle w:val="Nvel2Red"/>
        <w:widowControl/>
        <w:numPr>
          <w:ilvl w:val="1"/>
          <w:numId w:val="1"/>
        </w:numPr>
        <w:bidi w:val="0"/>
        <w:spacing w:lineRule="auto" w:line="276" w:before="120" w:after="120"/>
        <w:ind w:left="680" w:right="0" w:hanging="454"/>
        <w:jc w:val="both"/>
        <w:rPr>
          <w:color w:val="000000"/>
        </w:rPr>
      </w:pPr>
      <w:r>
        <w:rPr>
          <w:color w:val="000000"/>
        </w:rPr>
        <w:t>A apólice do seguro garantia deverá acompanhar as modificações referentes à vigência do contrato principal mediante a emissão do respectivo endosso pela seguradora.</w:t>
      </w:r>
    </w:p>
    <w:p>
      <w:pPr>
        <w:pStyle w:val="Nvel2Red"/>
        <w:widowControl/>
        <w:numPr>
          <w:ilvl w:val="1"/>
          <w:numId w:val="1"/>
        </w:numPr>
        <w:bidi w:val="0"/>
        <w:spacing w:lineRule="auto" w:line="276" w:before="120" w:after="120"/>
        <w:ind w:left="680" w:right="0" w:hanging="454"/>
        <w:jc w:val="both"/>
        <w:rPr/>
      </w:pPr>
      <w:r>
        <w:rPr>
          <w:color w:val="000000"/>
        </w:rPr>
        <w:t xml:space="preserve">Será permitida a substituição da apólice de seguro-garantia na data de renovação ou de aniversário, desde que mantidas as condições e coberturas da apólice vigente e nenhum período fique descoberto, ressalvado o disposto no item </w:t>
      </w:r>
      <w:r>
        <w:rPr/>
        <w:fldChar w:fldCharType="begin"/>
      </w:r>
      <w:r>
        <w:rPr/>
        <w:instrText> REF _Ref125984616 \r \h </w:instrText>
      </w:r>
      <w:r>
        <w:rPr/>
        <w:fldChar w:fldCharType="separate"/>
      </w:r>
      <w:r>
        <w:rPr/>
        <w:t>13.5</w:t>
      </w:r>
      <w:r>
        <w:rPr/>
        <w:fldChar w:fldCharType="end"/>
      </w:r>
      <w:r>
        <w:rPr>
          <w:color w:val="000000"/>
        </w:rPr>
        <w:t xml:space="preserve"> deste contrato.</w:t>
      </w:r>
    </w:p>
    <w:p>
      <w:pPr>
        <w:pStyle w:val="Nvel2Red"/>
        <w:widowControl/>
        <w:numPr>
          <w:ilvl w:val="1"/>
          <w:numId w:val="1"/>
        </w:numPr>
        <w:bidi w:val="0"/>
        <w:spacing w:lineRule="auto" w:line="276" w:before="120" w:after="120"/>
        <w:ind w:left="680" w:right="0" w:hanging="454"/>
        <w:jc w:val="both"/>
        <w:rPr>
          <w:color w:val="000000"/>
        </w:rPr>
      </w:pPr>
      <w:bookmarkStart w:id="4" w:name="_Ref118297051"/>
      <w:bookmarkStart w:id="5" w:name="_Ref125984616"/>
      <w:r>
        <w:rPr>
          <w:color w:val="000000"/>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4"/>
      <w:bookmarkEnd w:id="5"/>
    </w:p>
    <w:p>
      <w:pPr>
        <w:pStyle w:val="Nvel2Red"/>
        <w:widowControl/>
        <w:numPr>
          <w:ilvl w:val="1"/>
          <w:numId w:val="1"/>
        </w:numPr>
        <w:bidi w:val="0"/>
        <w:spacing w:lineRule="auto" w:line="276" w:before="120" w:after="120"/>
        <w:ind w:left="680" w:right="0" w:hanging="454"/>
        <w:jc w:val="both"/>
        <w:rPr>
          <w:color w:val="000000"/>
        </w:rPr>
      </w:pPr>
      <w:bookmarkStart w:id="6" w:name="_Ref118297166"/>
      <w:r>
        <w:rPr>
          <w:color w:val="000000"/>
        </w:rPr>
        <w:t>A garantia assegurará, qualquer que seja a modalidade escolhida, o pagamento de:</w:t>
      </w:r>
      <w:bookmarkEnd w:id="6"/>
      <w:r>
        <w:rPr>
          <w:color w:val="000000"/>
        </w:rPr>
        <w:t xml:space="preserve"> </w:t>
      </w:r>
    </w:p>
    <w:p>
      <w:pPr>
        <w:pStyle w:val="Nvel3R"/>
        <w:widowControl/>
        <w:numPr>
          <w:ilvl w:val="1"/>
          <w:numId w:val="1"/>
        </w:numPr>
        <w:bidi w:val="0"/>
        <w:spacing w:lineRule="auto" w:line="276" w:before="120" w:after="120"/>
        <w:ind w:left="680" w:right="0" w:hanging="454"/>
        <w:jc w:val="both"/>
        <w:rPr>
          <w:color w:val="000000"/>
        </w:rPr>
      </w:pPr>
      <w:r>
        <w:rPr>
          <w:color w:val="000000"/>
        </w:rPr>
        <w:t xml:space="preserve">prejuízos advindos do não cumprimento do objeto do contrato e do não adimplemento das demais obrigações nele previstas; </w:t>
      </w:r>
    </w:p>
    <w:p>
      <w:pPr>
        <w:pStyle w:val="Nvel3R"/>
        <w:widowControl/>
        <w:numPr>
          <w:ilvl w:val="1"/>
          <w:numId w:val="1"/>
        </w:numPr>
        <w:bidi w:val="0"/>
        <w:spacing w:lineRule="auto" w:line="276" w:before="120" w:after="120"/>
        <w:ind w:left="680" w:right="0" w:hanging="454"/>
        <w:jc w:val="both"/>
        <w:rPr>
          <w:color w:val="000000"/>
        </w:rPr>
      </w:pPr>
      <w:r>
        <w:rPr>
          <w:color w:val="000000"/>
        </w:rPr>
        <w:t xml:space="preserve">multas moratórias e punitivas aplicadas pela Administração ao contratado; e  </w:t>
      </w:r>
    </w:p>
    <w:p>
      <w:pPr>
        <w:pStyle w:val="Nvel3R"/>
        <w:widowControl/>
        <w:numPr>
          <w:ilvl w:val="1"/>
          <w:numId w:val="1"/>
        </w:numPr>
        <w:bidi w:val="0"/>
        <w:spacing w:lineRule="auto" w:line="276" w:before="120" w:after="120"/>
        <w:ind w:left="680" w:right="0" w:hanging="454"/>
        <w:jc w:val="both"/>
        <w:rPr>
          <w:color w:val="000000"/>
        </w:rPr>
      </w:pPr>
      <w:r>
        <w:rPr>
          <w:color w:val="000000"/>
        </w:rPr>
        <w:t>obrigações trabalhistas e previdenciárias de qualquer natureza e para com o FGTS, não adimplidas pelo contratado, quando couber.</w:t>
      </w:r>
    </w:p>
    <w:p>
      <w:pPr>
        <w:pStyle w:val="Nvel2Red"/>
        <w:widowControl/>
        <w:numPr>
          <w:ilvl w:val="1"/>
          <w:numId w:val="1"/>
        </w:numPr>
        <w:bidi w:val="0"/>
        <w:spacing w:lineRule="auto" w:line="276" w:before="120" w:after="120"/>
        <w:ind w:left="680" w:right="0" w:hanging="454"/>
        <w:jc w:val="both"/>
        <w:rPr/>
      </w:pPr>
      <w:r>
        <w:rPr>
          <w:color w:val="000000"/>
        </w:rPr>
        <w:t xml:space="preserve">A modalidade seguro-garantia somente será aceita se contemplar todos os eventos indicados no item </w:t>
      </w:r>
      <w:r>
        <w:rPr/>
        <w:fldChar w:fldCharType="begin"/>
      </w:r>
      <w:r>
        <w:rPr/>
        <w:instrText> REF _Ref118297166 \r \h </w:instrText>
      </w:r>
      <w:r>
        <w:rPr/>
        <w:fldChar w:fldCharType="separate"/>
      </w:r>
      <w:r>
        <w:rPr/>
        <w:t>13.6</w:t>
      </w:r>
      <w:r>
        <w:rPr/>
        <w:fldChar w:fldCharType="end"/>
      </w:r>
      <w:r>
        <w:rPr>
          <w:color w:val="000000"/>
        </w:rPr>
        <w:t xml:space="preserve">, observada a legislação que rege a matéria. </w:t>
      </w:r>
    </w:p>
    <w:p>
      <w:pPr>
        <w:pStyle w:val="Nvel2Red"/>
        <w:widowControl/>
        <w:numPr>
          <w:ilvl w:val="1"/>
          <w:numId w:val="1"/>
        </w:numPr>
        <w:bidi w:val="0"/>
        <w:spacing w:lineRule="auto" w:line="276" w:before="120" w:after="120"/>
        <w:ind w:left="680" w:right="0" w:hanging="454"/>
        <w:jc w:val="both"/>
        <w:rPr>
          <w:color w:val="000000"/>
        </w:rPr>
      </w:pPr>
      <w:commentRangeStart w:id="20"/>
      <w:r>
        <w:rPr>
          <w:color w:val="000000"/>
        </w:rPr>
        <w:t>A garantia em dinheiro deverá ser efetuada em favor do contratante, em conta específica na Caixa Econômica Federal, com correção monetária.</w:t>
      </w:r>
      <w:commentRangeEnd w:id="20"/>
      <w:r>
        <w:commentReference w:id="20"/>
      </w:r>
      <w:r>
        <w:rPr>
          <w:color w:val="000000"/>
        </w:rPr>
      </w:r>
    </w:p>
    <w:p>
      <w:pPr>
        <w:pStyle w:val="Nvel2Red"/>
        <w:widowControl/>
        <w:numPr>
          <w:ilvl w:val="1"/>
          <w:numId w:val="1"/>
        </w:numPr>
        <w:bidi w:val="0"/>
        <w:spacing w:lineRule="auto" w:line="276" w:before="120" w:after="120"/>
        <w:ind w:left="680" w:right="0" w:hanging="454"/>
        <w:jc w:val="both"/>
        <w:rPr>
          <w:color w:val="000000"/>
        </w:rPr>
      </w:pPr>
      <w:r>
        <w:rPr>
          <w:color w:val="000000"/>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pPr>
        <w:pStyle w:val="Nvel2Red"/>
        <w:widowControl/>
        <w:numPr>
          <w:ilvl w:val="1"/>
          <w:numId w:val="1"/>
        </w:numPr>
        <w:bidi w:val="0"/>
        <w:spacing w:lineRule="auto" w:line="276" w:before="120" w:after="120"/>
        <w:ind w:left="737" w:right="0" w:hanging="454"/>
        <w:jc w:val="both"/>
        <w:rPr/>
      </w:pPr>
      <w:r>
        <w:rPr>
          <w:color w:val="000000"/>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r>
        <w:fldChar w:fldCharType="begin"/>
      </w:r>
      <w:r>
        <w:rPr>
          <w:rStyle w:val="LinkdaInternet"/>
        </w:rPr>
        <w:instrText> HYPERLINK "https://www.planalto.gov.br/ccivil_03/leis/2002/l10406compilada.htm" \l "art827"</w:instrText>
      </w:r>
      <w:r>
        <w:rPr>
          <w:rStyle w:val="LinkdaInternet"/>
        </w:rPr>
        <w:fldChar w:fldCharType="separate"/>
      </w:r>
      <w:r>
        <w:rPr>
          <w:rStyle w:val="LinkdaInternet"/>
          <w:color w:val="000000"/>
        </w:rPr>
        <w:t>artigo 827 do Código Civil.</w:t>
      </w:r>
      <w:r>
        <w:rPr>
          <w:rStyle w:val="LinkdaInternet"/>
        </w:rPr>
        <w:fldChar w:fldCharType="end"/>
      </w:r>
    </w:p>
    <w:p>
      <w:pPr>
        <w:pStyle w:val="Nvel2Red"/>
        <w:widowControl/>
        <w:numPr>
          <w:ilvl w:val="1"/>
          <w:numId w:val="1"/>
        </w:numPr>
        <w:bidi w:val="0"/>
        <w:spacing w:lineRule="auto" w:line="276" w:before="120" w:after="120"/>
        <w:ind w:left="737" w:right="0" w:hanging="454"/>
        <w:jc w:val="both"/>
        <w:rPr>
          <w:color w:val="000000"/>
        </w:rPr>
      </w:pPr>
      <w:r>
        <w:rPr>
          <w:color w:val="000000"/>
        </w:rPr>
        <w:t xml:space="preserve">No caso de alteração do valor do contrato, ou prorrogação de sua vigência, a garantia deverá ser ajustada ou renovada, seguindo os mesmos parâmetros utilizados quando da contratação. </w:t>
      </w:r>
    </w:p>
    <w:p>
      <w:pPr>
        <w:pStyle w:val="Nvel2Red"/>
        <w:widowControl/>
        <w:numPr>
          <w:ilvl w:val="1"/>
          <w:numId w:val="1"/>
        </w:numPr>
        <w:bidi w:val="0"/>
        <w:spacing w:lineRule="auto" w:line="276" w:before="120" w:after="120"/>
        <w:ind w:left="737" w:right="0" w:hanging="454"/>
        <w:jc w:val="both"/>
        <w:rPr>
          <w:color w:val="000000"/>
        </w:rPr>
      </w:pPr>
      <w:r>
        <w:rPr>
          <w:color w:val="000000"/>
        </w:rPr>
        <w:t>Se o valor da garantia for utilizado total ou parcialmente em pagamento de qualquer obrigação, o Contratado obriga-se a fazer a respectiva reposição no prazo máximo de .......... (......) dias úteis, contados da data em que for notificada.</w:t>
      </w:r>
    </w:p>
    <w:p>
      <w:pPr>
        <w:pStyle w:val="Nvel2Red"/>
        <w:widowControl/>
        <w:numPr>
          <w:ilvl w:val="1"/>
          <w:numId w:val="1"/>
        </w:numPr>
        <w:bidi w:val="0"/>
        <w:spacing w:lineRule="auto" w:line="276" w:before="120" w:after="120"/>
        <w:ind w:left="737" w:right="0" w:hanging="454"/>
        <w:jc w:val="both"/>
        <w:rPr>
          <w:color w:val="000000"/>
        </w:rPr>
      </w:pPr>
      <w:r>
        <w:rPr>
          <w:color w:val="000000"/>
        </w:rPr>
        <w:t>O Contratante executará a garantia na forma prevista na legislação que rege a matéria.</w:t>
      </w:r>
    </w:p>
    <w:p>
      <w:pPr>
        <w:pStyle w:val="Nvel3R"/>
        <w:widowControl/>
        <w:numPr>
          <w:ilvl w:val="1"/>
          <w:numId w:val="1"/>
        </w:numPr>
        <w:bidi w:val="0"/>
        <w:spacing w:lineRule="auto" w:line="276" w:before="120" w:after="120"/>
        <w:ind w:left="680" w:right="0" w:hanging="454"/>
        <w:jc w:val="both"/>
        <w:rPr/>
      </w:pPr>
      <w:r>
        <w:rPr>
          <w:color w:val="000000"/>
        </w:rPr>
        <w:t>O emitente da garantia ofertada pelo contratado deverá ser notificado pelo contratante quanto ao início de processo administrativo para apuração de descumprimento de cláusulas contratuais (</w:t>
      </w:r>
      <w:r>
        <w:fldChar w:fldCharType="begin"/>
      </w:r>
      <w:r>
        <w:rPr>
          <w:rStyle w:val="LinkdaInternet"/>
        </w:rPr>
        <w:instrText> HYPERLINK "http://www.planalto.gov.br/ccivil_03/_ato2019-2022/2021/lei/L14133.htm" \l "art137§4"</w:instrText>
      </w:r>
      <w:r>
        <w:rPr>
          <w:rStyle w:val="LinkdaInternet"/>
        </w:rPr>
        <w:fldChar w:fldCharType="separate"/>
      </w:r>
      <w:r>
        <w:rPr>
          <w:rStyle w:val="LinkdaInternet"/>
          <w:color w:val="000000"/>
        </w:rPr>
        <w:t>art. 137, § 4º, da Lei n.º 14.133, de 2021</w:t>
      </w:r>
      <w:r>
        <w:rPr>
          <w:rStyle w:val="LinkdaInternet"/>
        </w:rPr>
        <w:fldChar w:fldCharType="end"/>
      </w:r>
      <w:r>
        <w:rPr>
          <w:color w:val="000000"/>
        </w:rPr>
        <w:t>).</w:t>
      </w:r>
    </w:p>
    <w:p>
      <w:pPr>
        <w:pStyle w:val="Nvel3R"/>
        <w:widowControl/>
        <w:numPr>
          <w:ilvl w:val="1"/>
          <w:numId w:val="1"/>
        </w:numPr>
        <w:bidi w:val="0"/>
        <w:spacing w:lineRule="auto" w:line="276" w:before="120" w:after="120"/>
        <w:ind w:left="680" w:right="0" w:hanging="454"/>
        <w:jc w:val="both"/>
        <w:rPr/>
      </w:pPr>
      <w:r>
        <w:rPr>
          <w:color w:val="000000"/>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r>
        <w:fldChar w:fldCharType="begin"/>
      </w:r>
      <w:r>
        <w:rPr>
          <w:rStyle w:val="LinkdaInternet"/>
        </w:rPr>
        <w:instrText> HYPERLINK "https://www.in.gov.br/en/web/dou/-/circular-susep-n-662-de-11-de-abril-de-2022-392772088" \l "art20"</w:instrText>
      </w:r>
      <w:r>
        <w:rPr>
          <w:rStyle w:val="LinkdaInternet"/>
        </w:rPr>
        <w:fldChar w:fldCharType="separate"/>
      </w:r>
      <w:r>
        <w:rPr>
          <w:rStyle w:val="LinkdaInternet"/>
          <w:color w:val="000000"/>
        </w:rPr>
        <w:t>art. 20 da Circular Susep n° 662, de 11 de abril de 2022</w:t>
      </w:r>
      <w:r>
        <w:rPr>
          <w:rStyle w:val="LinkdaInternet"/>
        </w:rPr>
        <w:fldChar w:fldCharType="end"/>
      </w:r>
      <w:r>
        <w:rPr>
          <w:color w:val="000000"/>
        </w:rPr>
        <w:t>.</w:t>
      </w:r>
    </w:p>
    <w:p>
      <w:pPr>
        <w:pStyle w:val="Nvel2Red"/>
        <w:widowControl/>
        <w:numPr>
          <w:ilvl w:val="1"/>
          <w:numId w:val="1"/>
        </w:numPr>
        <w:bidi w:val="0"/>
        <w:spacing w:lineRule="auto" w:line="276" w:before="120" w:after="120"/>
        <w:ind w:left="680" w:right="0" w:hanging="454"/>
        <w:jc w:val="both"/>
        <w:rPr>
          <w:color w:val="000000"/>
        </w:rPr>
      </w:pPr>
      <w:r>
        <w:rPr>
          <w:color w:val="000000"/>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pPr>
        <w:pStyle w:val="Nvel2Red"/>
        <w:widowControl/>
        <w:numPr>
          <w:ilvl w:val="1"/>
          <w:numId w:val="1"/>
        </w:numPr>
        <w:bidi w:val="0"/>
        <w:spacing w:lineRule="auto" w:line="276" w:before="120" w:after="120"/>
        <w:ind w:left="680" w:right="0" w:hanging="454"/>
        <w:jc w:val="both"/>
        <w:rPr>
          <w:color w:val="000000"/>
        </w:rPr>
      </w:pPr>
      <w:r>
        <w:rPr>
          <w:color w:val="000000"/>
        </w:rPr>
        <w:t>A garantia somente será liberada ou restituída após a fiel execução do contrato ou após a sua extinção por culpa exclusiva da Administração e, quando em dinheiro, será atualizada monetariamente.</w:t>
      </w:r>
    </w:p>
    <w:p>
      <w:pPr>
        <w:pStyle w:val="Nvel2Red"/>
        <w:widowControl/>
        <w:numPr>
          <w:ilvl w:val="1"/>
          <w:numId w:val="1"/>
        </w:numPr>
        <w:bidi w:val="0"/>
        <w:spacing w:lineRule="auto" w:line="276" w:before="120" w:after="120"/>
        <w:ind w:left="680" w:right="0" w:hanging="454"/>
        <w:jc w:val="both"/>
        <w:rPr>
          <w:color w:val="000000"/>
        </w:rPr>
      </w:pPr>
      <w:r>
        <w:rPr>
          <w:color w:val="000000"/>
        </w:rPr>
        <w:t xml:space="preserve">A garantia somente será liberada ante a comprovação de que o contratado pagou todas as verbas rescisórias decorrentes da contratação, sendo que, caso esse pagamento não ocorra até o fim do segundo mês após o encerramento da vigência contratual, a garantia deverá ser utilizada para o pagamento dessas verbas trabalhistas, incluindo suas repercussões previdenciárias e relativas ao FGTS, observada a legislação que rege a matéria; </w:t>
      </w:r>
    </w:p>
    <w:p>
      <w:pPr>
        <w:pStyle w:val="Nvel2Red"/>
        <w:widowControl/>
        <w:numPr>
          <w:ilvl w:val="1"/>
          <w:numId w:val="1"/>
        </w:numPr>
        <w:bidi w:val="0"/>
        <w:spacing w:lineRule="auto" w:line="276" w:before="120" w:after="120"/>
        <w:ind w:left="680" w:right="0" w:hanging="454"/>
        <w:jc w:val="both"/>
        <w:rPr>
          <w:color w:val="000000"/>
        </w:rPr>
      </w:pPr>
      <w:r>
        <w:rPr>
          <w:color w:val="000000"/>
        </w:rPr>
        <w:t>Também poderá haver liberação da garantia se a empresa comprovar que os empregados serão realocados em outra atividade de prestação de serviços, sem que ocorra a interrupção do contrato de trabalho;</w:t>
      </w:r>
    </w:p>
    <w:p>
      <w:pPr>
        <w:pStyle w:val="Nvel2Red"/>
        <w:widowControl/>
        <w:numPr>
          <w:ilvl w:val="1"/>
          <w:numId w:val="1"/>
        </w:numPr>
        <w:bidi w:val="0"/>
        <w:spacing w:lineRule="auto" w:line="276" w:before="120" w:after="120"/>
        <w:ind w:left="680" w:right="0" w:hanging="454"/>
        <w:jc w:val="both"/>
        <w:rPr>
          <w:color w:val="000000"/>
        </w:rPr>
      </w:pPr>
      <w:r>
        <w:rPr>
          <w:color w:val="000000"/>
        </w:rPr>
        <w:t>Por ocasião do encerramento da prestação dos serviços contratados, a Administração Contratante poderá utilizar o valor da garantia prestada para o pagamento direto aos trabalhadores vinculados ao contrato no caso da não comprovação: (1) do pagamento das respectivas verbas rescisórias ou (2) da realocação dos trabalhadores em outra atividade de prestação de serviços.</w:t>
      </w:r>
    </w:p>
    <w:p>
      <w:pPr>
        <w:pStyle w:val="Nvel2Red"/>
        <w:widowControl/>
        <w:numPr>
          <w:ilvl w:val="1"/>
          <w:numId w:val="1"/>
        </w:numPr>
        <w:bidi w:val="0"/>
        <w:spacing w:lineRule="auto" w:line="276" w:before="120" w:after="120"/>
        <w:ind w:left="680" w:right="0" w:hanging="454"/>
        <w:jc w:val="both"/>
        <w:rPr>
          <w:color w:val="000000"/>
        </w:rPr>
      </w:pPr>
      <w:r>
        <w:rPr>
          <w:color w:val="000000"/>
        </w:rPr>
        <w:t xml:space="preserve">O garantidor não é parte para figurar em processo administrativo instaurado pelo contratante com o objetivo de apurar prejuízos e/ou aplicar sanções ao contratado. </w:t>
      </w:r>
    </w:p>
    <w:p>
      <w:pPr>
        <w:pStyle w:val="Nvel2Red"/>
        <w:widowControl/>
        <w:numPr>
          <w:ilvl w:val="1"/>
          <w:numId w:val="1"/>
        </w:numPr>
        <w:bidi w:val="0"/>
        <w:spacing w:lineRule="auto" w:line="276" w:before="120" w:after="120"/>
        <w:ind w:left="680" w:right="0" w:hanging="454"/>
        <w:jc w:val="both"/>
        <w:rPr>
          <w:color w:val="000000"/>
        </w:rPr>
      </w:pPr>
      <w:r>
        <w:rPr>
          <w:color w:val="000000"/>
        </w:rPr>
        <w:t>O contratado autoriza o contratante a reter, a qualquer tempo, a garantia, na forma prevista no Edital e neste Contrato.</w:t>
      </w:r>
    </w:p>
    <w:p>
      <w:pPr>
        <w:pStyle w:val="Nvel2Red"/>
        <w:widowControl/>
        <w:numPr>
          <w:ilvl w:val="1"/>
          <w:numId w:val="1"/>
        </w:numPr>
        <w:bidi w:val="0"/>
        <w:spacing w:lineRule="auto" w:line="276" w:before="120" w:after="120"/>
        <w:ind w:left="680" w:right="0" w:hanging="454"/>
        <w:jc w:val="both"/>
        <w:rPr>
          <w:color w:val="000000"/>
        </w:rPr>
      </w:pPr>
      <w:r>
        <w:rPr>
          <w:color w:val="000000"/>
        </w:rPr>
        <w:t>A garantia de execução é independente de eventual garantia do produto ou serviço prevista especificamente no Termo de Referência.</w:t>
      </w:r>
    </w:p>
    <w:p>
      <w:pPr>
        <w:pStyle w:val="Nivel01"/>
        <w:numPr>
          <w:ilvl w:val="0"/>
          <w:numId w:val="1"/>
        </w:numPr>
        <w:ind w:left="0" w:hanging="0"/>
        <w:rPr/>
      </w:pPr>
      <w:r>
        <w:rPr/>
        <w:t>CLÁUSULA DÉCIMA SEGUNDA – INFRAÇÕES E SANÇÕES ADMINISTRATIVAS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XIV</w:t>
      </w:r>
      <w:r>
        <w:rPr>
          <w:rStyle w:val="LinkdaInternet"/>
        </w:rPr>
        <w:fldChar w:fldCharType="end"/>
      </w:r>
      <w:r>
        <w:rPr/>
        <w:t>)</w:t>
      </w:r>
    </w:p>
    <w:p>
      <w:pPr>
        <w:pStyle w:val="Nivel2"/>
        <w:numPr>
          <w:ilvl w:val="1"/>
          <w:numId w:val="1"/>
        </w:numPr>
        <w:ind w:left="0" w:hanging="0"/>
        <w:rPr/>
      </w:pPr>
      <w:r>
        <w:rPr/>
        <w:t xml:space="preserve">Comete infração administrativa, nos termos da </w:t>
      </w:r>
      <w:hyperlink r:id="rId6">
        <w:r>
          <w:rPr>
            <w:rStyle w:val="LinkdaInternet"/>
          </w:rPr>
          <w:t>Lei nº 14.133, de 2021</w:t>
        </w:r>
      </w:hyperlink>
      <w:r>
        <w:rPr/>
        <w:t>, o contratado que:</w:t>
      </w:r>
    </w:p>
    <w:p>
      <w:pPr>
        <w:pStyle w:val="Normal"/>
        <w:numPr>
          <w:ilvl w:val="2"/>
          <w:numId w:val="4"/>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der causa à inexecução parcial do contrato;</w:t>
      </w:r>
    </w:p>
    <w:p>
      <w:pPr>
        <w:pStyle w:val="Normal"/>
        <w:numPr>
          <w:ilvl w:val="2"/>
          <w:numId w:val="4"/>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der causa à inexecução parcial do contrato que cause grave dano à Administração ou ao funcionamento dos serviços públicos ou ao interesse coletivo;</w:t>
      </w:r>
    </w:p>
    <w:p>
      <w:pPr>
        <w:pStyle w:val="Normal"/>
        <w:numPr>
          <w:ilvl w:val="2"/>
          <w:numId w:val="4"/>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der causa à inexecução total do contrato;</w:t>
      </w:r>
    </w:p>
    <w:p>
      <w:pPr>
        <w:pStyle w:val="Normal"/>
        <w:numPr>
          <w:ilvl w:val="2"/>
          <w:numId w:val="4"/>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ensejar o retardamento da execução ou da entrega do objeto da contratação sem motivo justificado;</w:t>
      </w:r>
    </w:p>
    <w:p>
      <w:pPr>
        <w:pStyle w:val="Normal"/>
        <w:numPr>
          <w:ilvl w:val="2"/>
          <w:numId w:val="4"/>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apresentar documentação falsa ou prestar declaração falsa durante a execução do contrato;</w:t>
      </w:r>
    </w:p>
    <w:p>
      <w:pPr>
        <w:pStyle w:val="Normal"/>
        <w:numPr>
          <w:ilvl w:val="2"/>
          <w:numId w:val="4"/>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praticar ato fraudulento na execução do contrato;</w:t>
      </w:r>
    </w:p>
    <w:p>
      <w:pPr>
        <w:pStyle w:val="Normal"/>
        <w:numPr>
          <w:ilvl w:val="2"/>
          <w:numId w:val="4"/>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comportar-se de modo inidôneo ou cometer fraude de qualquer natureza;</w:t>
      </w:r>
    </w:p>
    <w:p>
      <w:pPr>
        <w:pStyle w:val="Normal"/>
        <w:numPr>
          <w:ilvl w:val="2"/>
          <w:numId w:val="4"/>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praticar ato lesivo previsto no art. 5º da Lei nº 12.846, de 1º de agosto de 2013.</w:t>
      </w:r>
    </w:p>
    <w:p>
      <w:pPr>
        <w:pStyle w:val="Nivel2"/>
        <w:numPr>
          <w:ilvl w:val="1"/>
          <w:numId w:val="1"/>
        </w:numPr>
        <w:ind w:left="0" w:hanging="0"/>
        <w:rPr/>
      </w:pPr>
      <w:r>
        <w:rPr/>
        <w:t>Serão aplicadas ao contratado que incorrer nas infrações acima descritas as seguintes sanções:</w:t>
      </w:r>
    </w:p>
    <w:p>
      <w:pPr>
        <w:pStyle w:val="Normal"/>
        <w:numPr>
          <w:ilvl w:val="2"/>
          <w:numId w:val="5"/>
        </w:numPr>
        <w:suppressAutoHyphens w:val="true"/>
        <w:spacing w:lineRule="auto" w:line="276" w:before="120" w:after="120"/>
        <w:ind w:left="284" w:hanging="0"/>
        <w:contextualSpacing/>
        <w:jc w:val="both"/>
        <w:rPr/>
      </w:pPr>
      <w:r>
        <w:rPr>
          <w:rFonts w:eastAsia="Arial" w:cs="Arial" w:ascii="Arial" w:hAnsi="Arial"/>
          <w:b/>
          <w:bCs/>
          <w:sz w:val="20"/>
          <w:szCs w:val="20"/>
        </w:rPr>
        <w:t>Advertência</w:t>
      </w:r>
      <w:r>
        <w:rPr>
          <w:rFonts w:eastAsia="Arial" w:cs="Arial" w:ascii="Arial" w:hAnsi="Arial"/>
          <w:sz w:val="20"/>
          <w:szCs w:val="20"/>
        </w:rPr>
        <w:t>, quando o contratado der causa à inexecução parcial do contrato, sempre que não se justificar a imposição de penalidade mais grave (</w:t>
      </w:r>
      <w:r>
        <w:fldChar w:fldCharType="begin"/>
      </w:r>
      <w:r>
        <w:rPr>
          <w:rStyle w:val="LinkdaInternet"/>
          <w:sz w:val="20"/>
          <w:szCs w:val="20"/>
          <w:rFonts w:eastAsia="Arial" w:cs="Arial" w:ascii="Arial" w:hAnsi="Arial"/>
        </w:rPr>
        <w:instrText> HYPERLINK "http://www.planalto.gov.br/ccivil_03/_ato2019-2022/2021/lei/L14133.htm" \l "art156§2"</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 xml:space="preserve">art. 156, §2º, da </w:t>
      </w:r>
      <w:r>
        <w:rPr>
          <w:rStyle w:val="LinkdaInternet"/>
          <w:sz w:val="20"/>
          <w:szCs w:val="20"/>
          <w:rFonts w:eastAsia="Arial" w:cs="Arial" w:ascii="Arial" w:hAnsi="Arial"/>
        </w:rPr>
        <w:fldChar w:fldCharType="end"/>
      </w:r>
      <w:bookmarkStart w:id="7" w:name="_Hlk114504069"/>
      <w:r>
        <w:rPr>
          <w:rStyle w:val="LinkdaInternet"/>
          <w:rFonts w:eastAsia="Arial" w:cs="Arial" w:ascii="Arial" w:hAnsi="Arial"/>
          <w:sz w:val="20"/>
          <w:szCs w:val="20"/>
        </w:rPr>
        <w:t>Lei nº 14.133, de 2021</w:t>
      </w:r>
      <w:bookmarkEnd w:id="7"/>
      <w:r>
        <w:rPr>
          <w:rFonts w:eastAsia="Arial" w:cs="Arial" w:ascii="Arial" w:hAnsi="Arial"/>
          <w:sz w:val="20"/>
          <w:szCs w:val="20"/>
        </w:rPr>
        <w:t>);</w:t>
      </w:r>
    </w:p>
    <w:p>
      <w:pPr>
        <w:pStyle w:val="Normal"/>
        <w:numPr>
          <w:ilvl w:val="2"/>
          <w:numId w:val="5"/>
        </w:numPr>
        <w:suppressAutoHyphens w:val="true"/>
        <w:spacing w:lineRule="auto" w:line="276" w:before="120" w:after="120"/>
        <w:ind w:left="284" w:hanging="0"/>
        <w:contextualSpacing/>
        <w:jc w:val="both"/>
        <w:rPr/>
      </w:pPr>
      <w:r>
        <w:rPr>
          <w:rFonts w:eastAsia="Arial" w:cs="Arial" w:ascii="Arial" w:hAnsi="Arial"/>
          <w:b/>
          <w:bCs/>
          <w:sz w:val="20"/>
          <w:szCs w:val="20"/>
        </w:rPr>
        <w:t>Impedimento de licitar e contratar</w:t>
      </w:r>
      <w:r>
        <w:rPr>
          <w:rFonts w:eastAsia="Arial" w:cs="Arial" w:ascii="Arial" w:hAnsi="Arial"/>
          <w:sz w:val="20"/>
          <w:szCs w:val="20"/>
        </w:rPr>
        <w:t>, quando praticadas as condutas descritas nas alíneas “b”, “c” e “d” do subitem acima deste Contrato, sempre que não se justificar a imposição de penalidade mais grave (</w:t>
      </w:r>
      <w:r>
        <w:fldChar w:fldCharType="begin"/>
      </w:r>
      <w:r>
        <w:rPr>
          <w:rStyle w:val="LinkdaInternet"/>
          <w:sz w:val="20"/>
          <w:szCs w:val="20"/>
          <w:rFonts w:eastAsia="Arial" w:cs="Arial" w:ascii="Arial" w:hAnsi="Arial"/>
        </w:rPr>
        <w:instrText> HYPERLINK "http://www.planalto.gov.br/ccivil_03/_ato2019-2022/2021/lei/L14133.htm" \l "art156§4"</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art. 156, § 4º, da Lei nº 14.133, de 2021</w:t>
      </w:r>
      <w:r>
        <w:rPr>
          <w:rStyle w:val="LinkdaInternet"/>
          <w:sz w:val="20"/>
          <w:szCs w:val="20"/>
          <w:rFonts w:eastAsia="Arial" w:cs="Arial" w:ascii="Arial" w:hAnsi="Arial"/>
        </w:rPr>
        <w:fldChar w:fldCharType="end"/>
      </w:r>
      <w:r>
        <w:rPr>
          <w:rFonts w:eastAsia="Arial" w:cs="Arial" w:ascii="Arial" w:hAnsi="Arial"/>
          <w:sz w:val="20"/>
          <w:szCs w:val="20"/>
        </w:rPr>
        <w:t>);</w:t>
      </w:r>
    </w:p>
    <w:p>
      <w:pPr>
        <w:pStyle w:val="Normal"/>
        <w:numPr>
          <w:ilvl w:val="2"/>
          <w:numId w:val="5"/>
        </w:numPr>
        <w:suppressAutoHyphens w:val="true"/>
        <w:spacing w:lineRule="auto" w:line="276" w:before="120" w:after="120"/>
        <w:ind w:left="284" w:hanging="0"/>
        <w:contextualSpacing/>
        <w:jc w:val="both"/>
        <w:rPr/>
      </w:pPr>
      <w:r>
        <w:rPr>
          <w:rFonts w:eastAsia="Arial" w:cs="Arial" w:ascii="Arial" w:hAnsi="Arial"/>
          <w:b/>
          <w:bCs/>
          <w:sz w:val="20"/>
          <w:szCs w:val="20"/>
        </w:rPr>
        <w:t>Declaração de inidoneidade para licitar e contratar</w:t>
      </w:r>
      <w:r>
        <w:rPr>
          <w:rFonts w:eastAsia="Arial" w:cs="Arial" w:ascii="Arial" w:hAnsi="Arial"/>
          <w:sz w:val="20"/>
          <w:szCs w:val="20"/>
        </w:rPr>
        <w:t>, quando praticadas as condutas descritas nas alíneas “e”, “f”, “g” e “h” do subitem acima deste Contrato, bem como nas alíneas “b”, “c” e “d”, que justifiquem a imposição de penalidade mais grave (</w:t>
      </w:r>
      <w:r>
        <w:fldChar w:fldCharType="begin"/>
      </w:r>
      <w:r>
        <w:rPr>
          <w:rStyle w:val="LinkdaInternet"/>
          <w:sz w:val="20"/>
          <w:szCs w:val="20"/>
          <w:rFonts w:eastAsia="Arial" w:cs="Arial" w:ascii="Arial" w:hAnsi="Arial"/>
        </w:rPr>
        <w:instrText> HYPERLINK "http://www.planalto.gov.br/ccivil_03/_ato2019-2022/2021/lei/L14133.htm" \l "art156§5"</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art. 156, §5º, da Lei nº 14.133, de 2021</w:t>
      </w:r>
      <w:r>
        <w:rPr>
          <w:rStyle w:val="LinkdaInternet"/>
          <w:sz w:val="20"/>
          <w:szCs w:val="20"/>
          <w:rFonts w:eastAsia="Arial" w:cs="Arial" w:ascii="Arial" w:hAnsi="Arial"/>
        </w:rPr>
        <w:fldChar w:fldCharType="end"/>
      </w:r>
      <w:r>
        <w:rPr>
          <w:rFonts w:eastAsia="Arial" w:cs="Arial" w:ascii="Arial" w:hAnsi="Arial"/>
          <w:sz w:val="20"/>
          <w:szCs w:val="20"/>
        </w:rPr>
        <w:t>).</w:t>
      </w:r>
    </w:p>
    <w:p>
      <w:pPr>
        <w:pStyle w:val="Normal"/>
        <w:numPr>
          <w:ilvl w:val="2"/>
          <w:numId w:val="5"/>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b/>
          <w:bCs/>
          <w:sz w:val="20"/>
          <w:szCs w:val="20"/>
        </w:rPr>
        <w:t>Multa:</w:t>
      </w:r>
    </w:p>
    <w:p>
      <w:pPr>
        <w:pStyle w:val="Normal"/>
        <w:numPr>
          <w:ilvl w:val="3"/>
          <w:numId w:val="5"/>
        </w:numPr>
        <w:suppressAutoHyphens w:val="true"/>
        <w:spacing w:lineRule="auto" w:line="276" w:before="120" w:after="120"/>
        <w:ind w:left="567" w:hanging="0"/>
        <w:contextualSpacing/>
        <w:jc w:val="both"/>
        <w:rPr/>
      </w:pPr>
      <w:r>
        <w:rPr>
          <w:rFonts w:eastAsia="Arial" w:cs="Arial" w:ascii="Arial" w:hAnsi="Arial"/>
          <w:sz w:val="20"/>
          <w:szCs w:val="20"/>
        </w:rPr>
        <w:t xml:space="preserve">Moratória de </w:t>
      </w:r>
      <w:r>
        <w:rPr>
          <w:rFonts w:eastAsia="Arial" w:cs="Arial" w:ascii="Arial" w:hAnsi="Arial"/>
          <w:color w:val="FF0000"/>
          <w:sz w:val="20"/>
          <w:szCs w:val="20"/>
        </w:rPr>
        <w:t>1% (um por cento)</w:t>
      </w:r>
      <w:r>
        <w:rPr>
          <w:rFonts w:eastAsia="Arial" w:cs="Arial" w:ascii="Arial" w:hAnsi="Arial"/>
          <w:sz w:val="20"/>
          <w:szCs w:val="20"/>
        </w:rPr>
        <w:t xml:space="preserve"> por dia de atraso injustificado sobre o valor da parcela inadimplida, até o limite de </w:t>
      </w:r>
      <w:r>
        <w:rPr>
          <w:rFonts w:eastAsia="Arial" w:cs="Arial" w:ascii="Arial" w:hAnsi="Arial"/>
          <w:color w:val="FF0000"/>
          <w:sz w:val="20"/>
          <w:szCs w:val="20"/>
        </w:rPr>
        <w:t>30 (trinta)</w:t>
      </w:r>
      <w:r>
        <w:rPr>
          <w:rFonts w:eastAsia="Arial" w:cs="Arial" w:ascii="Arial" w:hAnsi="Arial"/>
          <w:sz w:val="20"/>
          <w:szCs w:val="20"/>
        </w:rPr>
        <w:t xml:space="preserve"> </w:t>
      </w:r>
      <w:commentRangeStart w:id="21"/>
      <w:r>
        <w:rPr>
          <w:rFonts w:eastAsia="Arial" w:cs="Arial" w:ascii="Arial" w:hAnsi="Arial"/>
          <w:sz w:val="20"/>
          <w:szCs w:val="20"/>
        </w:rPr>
        <w:t>dias</w:t>
      </w:r>
      <w:r>
        <w:rPr>
          <w:rFonts w:eastAsia="Arial" w:cs="Arial" w:ascii="Arial" w:hAnsi="Arial"/>
          <w:sz w:val="20"/>
          <w:szCs w:val="20"/>
        </w:rPr>
      </w:r>
      <w:commentRangeEnd w:id="21"/>
      <w:r>
        <w:commentReference w:id="21"/>
      </w:r>
      <w:r>
        <w:rPr>
          <w:rFonts w:eastAsia="Arial" w:cs="Arial" w:ascii="Arial" w:hAnsi="Arial"/>
          <w:sz w:val="20"/>
          <w:szCs w:val="20"/>
        </w:rPr>
        <w:t>;</w:t>
      </w:r>
    </w:p>
    <w:p>
      <w:pPr>
        <w:pStyle w:val="Normal"/>
        <w:numPr>
          <w:ilvl w:val="3"/>
          <w:numId w:val="5"/>
        </w:numPr>
        <w:suppressAutoHyphens w:val="true"/>
        <w:spacing w:lineRule="auto" w:line="276" w:before="120" w:after="120"/>
        <w:ind w:left="567" w:hanging="0"/>
        <w:contextualSpacing/>
        <w:jc w:val="both"/>
        <w:rPr>
          <w:rFonts w:ascii="Arial" w:hAnsi="Arial" w:eastAsia="Arial" w:cs="Arial"/>
          <w:sz w:val="20"/>
          <w:szCs w:val="20"/>
        </w:rPr>
      </w:pPr>
      <w:r>
        <w:rPr>
          <w:rFonts w:eastAsia="Arial" w:cs="Arial" w:ascii="Arial" w:hAnsi="Arial"/>
          <w:sz w:val="20"/>
          <w:szCs w:val="20"/>
        </w:rPr>
        <w:t xml:space="preserve">Moratória de </w:t>
      </w:r>
      <w:r>
        <w:rPr>
          <w:rFonts w:eastAsia="Arial" w:cs="Arial" w:ascii="Arial" w:hAnsi="Arial"/>
          <w:sz w:val="20"/>
          <w:szCs w:val="20"/>
          <w:highlight w:val="yellow"/>
        </w:rPr>
        <w:t>0,07% (sete centésimos por cento)</w:t>
      </w:r>
      <w:r>
        <w:rPr>
          <w:highlight w:val="yellow"/>
        </w:rPr>
        <w:t xml:space="preserve"> </w:t>
      </w:r>
      <w:r>
        <w:rPr>
          <w:rFonts w:eastAsia="Arial" w:cs="Arial" w:ascii="Arial" w:hAnsi="Arial"/>
          <w:sz w:val="20"/>
          <w:szCs w:val="20"/>
          <w:highlight w:val="yellow"/>
        </w:rPr>
        <w:t>por dia de atraso injustificado sobre o valor total do contrato, até o máximo de 2 % (dois por cento),</w:t>
      </w:r>
      <w:r>
        <w:rPr>
          <w:rFonts w:eastAsia="Arial" w:cs="Arial" w:ascii="Arial" w:hAnsi="Arial"/>
          <w:sz w:val="20"/>
          <w:szCs w:val="20"/>
        </w:rPr>
        <w:t xml:space="preserve"> pela inobservância do prazo fixado para apresentação, suplementação ou reposição da garantia. </w:t>
      </w:r>
    </w:p>
    <w:p>
      <w:pPr>
        <w:pStyle w:val="Normal"/>
        <w:numPr>
          <w:ilvl w:val="7"/>
          <w:numId w:val="5"/>
        </w:numPr>
        <w:suppressAutoHyphens w:val="true"/>
        <w:spacing w:lineRule="auto" w:line="276" w:before="120" w:after="120"/>
        <w:ind w:left="851" w:hanging="0"/>
        <w:contextualSpacing/>
        <w:jc w:val="both"/>
        <w:rPr/>
      </w:pPr>
      <w:r>
        <w:rPr>
          <w:rFonts w:eastAsia="Arial" w:cs="Arial" w:ascii="Arial" w:hAnsi="Arial"/>
          <w:sz w:val="20"/>
          <w:szCs w:val="20"/>
        </w:rPr>
        <w:t xml:space="preserve">O atraso superior </w:t>
      </w:r>
      <w:r>
        <w:rPr>
          <w:rFonts w:eastAsia="Arial" w:cs="Arial" w:ascii="Arial" w:hAnsi="Arial"/>
          <w:sz w:val="20"/>
          <w:szCs w:val="20"/>
          <w:highlight w:val="yellow"/>
        </w:rPr>
        <w:t>a 25 (vinte e cinco) dias</w:t>
      </w:r>
      <w:r>
        <w:rPr>
          <w:rFonts w:eastAsia="Arial" w:cs="Arial" w:ascii="Arial" w:hAnsi="Arial"/>
          <w:sz w:val="20"/>
          <w:szCs w:val="20"/>
        </w:rPr>
        <w:t xml:space="preserve"> autoriza a Administração a promover a extinção do contrato por descumprimento ou cumprimento irregular de suas cláusulas, conforme dispõe o</w:t>
      </w:r>
      <w:r>
        <w:rPr>
          <w:rFonts w:eastAsia="Arial" w:cs="Arial" w:ascii="Arial" w:hAnsi="Arial"/>
          <w:i/>
          <w:iCs/>
          <w:sz w:val="20"/>
          <w:szCs w:val="20"/>
        </w:rPr>
        <w:t xml:space="preserve"> </w:t>
      </w:r>
      <w:r>
        <w:fldChar w:fldCharType="begin"/>
      </w:r>
      <w:r>
        <w:rPr>
          <w:rStyle w:val="LinkdaInternet"/>
          <w:sz w:val="20"/>
          <w:i/>
          <w:szCs w:val="20"/>
          <w:iCs/>
          <w:rFonts w:eastAsia="Arial" w:cs="Arial" w:ascii="Arial" w:hAnsi="Arial"/>
        </w:rPr>
        <w:instrText> HYPERLINK "http://www.planalto.gov.br/ccivil_03/_ato2019-2022/2021/lei/L14133.htm" \l "art137"</w:instrText>
      </w:r>
      <w:r>
        <w:rPr>
          <w:rStyle w:val="LinkdaInternet"/>
          <w:sz w:val="20"/>
          <w:i/>
          <w:szCs w:val="20"/>
          <w:iCs/>
          <w:rFonts w:eastAsia="Arial" w:cs="Arial" w:ascii="Arial" w:hAnsi="Arial"/>
        </w:rPr>
        <w:fldChar w:fldCharType="separate"/>
      </w:r>
      <w:r>
        <w:rPr>
          <w:rStyle w:val="LinkdaInternet"/>
          <w:rFonts w:eastAsia="Arial" w:cs="Arial" w:ascii="Arial" w:hAnsi="Arial"/>
          <w:i/>
          <w:iCs/>
          <w:sz w:val="20"/>
          <w:szCs w:val="20"/>
        </w:rPr>
        <w:t>inciso I do art. 137 da Lei n. 14.133, de 2021</w:t>
      </w:r>
      <w:r>
        <w:rPr>
          <w:rStyle w:val="LinkdaInternet"/>
          <w:sz w:val="20"/>
          <w:i/>
          <w:szCs w:val="20"/>
          <w:iCs/>
          <w:rFonts w:eastAsia="Arial" w:cs="Arial" w:ascii="Arial" w:hAnsi="Arial"/>
        </w:rPr>
        <w:fldChar w:fldCharType="end"/>
      </w:r>
      <w:r>
        <w:rPr>
          <w:rFonts w:eastAsia="Arial" w:cs="Arial" w:ascii="Arial" w:hAnsi="Arial"/>
          <w:i/>
          <w:iCs/>
          <w:color w:val="FF0000"/>
          <w:sz w:val="20"/>
          <w:szCs w:val="20"/>
        </w:rPr>
        <w:t xml:space="preserve">. </w:t>
      </w:r>
    </w:p>
    <w:p>
      <w:pPr>
        <w:pStyle w:val="Corpodotexto"/>
        <w:suppressAutoHyphens w:val="true"/>
        <w:spacing w:lineRule="auto" w:line="276" w:before="120" w:after="120"/>
        <w:ind w:left="851" w:hanging="0"/>
        <w:contextualSpacing/>
        <w:jc w:val="both"/>
        <w:rPr>
          <w:rFonts w:ascii="Calibri" w:hAnsi="Calibri"/>
          <w:b w:val="false"/>
          <w:b w:val="false"/>
          <w:i w:val="false"/>
          <w:i w:val="false"/>
          <w:caps w:val="false"/>
          <w:smallCaps w:val="false"/>
          <w:color w:val="000000"/>
          <w:spacing w:val="0"/>
          <w:sz w:val="28"/>
        </w:rPr>
      </w:pPr>
      <w:r>
        <w:rPr>
          <w:rFonts w:eastAsia="Arial" w:cs="Arial" w:ascii="Arial" w:hAnsi="Arial"/>
          <w:b w:val="false"/>
          <w:i/>
          <w:iCs/>
          <w:caps w:val="false"/>
          <w:smallCaps w:val="false"/>
          <w:color w:val="FF0000"/>
          <w:spacing w:val="0"/>
          <w:sz w:val="20"/>
          <w:szCs w:val="20"/>
          <w:highlight w:val="yellow"/>
        </w:rPr>
        <w:t>(3) Compensatória, para as infrações descritas nas alíneas “e” a “h” do subitem 12.1, de 10% a 30% do valor do Contrato.</w:t>
      </w:r>
    </w:p>
    <w:p>
      <w:pPr>
        <w:pStyle w:val="Corpodotexto"/>
        <w:widowControl/>
        <w:spacing w:before="120" w:after="120"/>
        <w:ind w:left="120" w:right="120" w:hanging="0"/>
        <w:jc w:val="both"/>
        <w:rPr>
          <w:rFonts w:ascii="Arial" w:hAnsi="Arial"/>
          <w:b w:val="false"/>
          <w:b w:val="false"/>
          <w:i w:val="false"/>
          <w:i w:val="false"/>
          <w:caps w:val="false"/>
          <w:smallCaps w:val="false"/>
          <w:color w:val="000000"/>
          <w:spacing w:val="0"/>
          <w:sz w:val="20"/>
          <w:szCs w:val="20"/>
          <w:highlight w:val="yellow"/>
        </w:rPr>
      </w:pPr>
      <w:r>
        <w:rPr>
          <w:rFonts w:ascii="Arial" w:hAnsi="Arial"/>
          <w:b w:val="false"/>
          <w:i w:val="false"/>
          <w:caps w:val="false"/>
          <w:smallCaps w:val="false"/>
          <w:color w:val="000000"/>
          <w:spacing w:val="0"/>
          <w:sz w:val="20"/>
          <w:szCs w:val="20"/>
          <w:highlight w:val="yellow"/>
        </w:rPr>
        <w:t>(4) Compensatória, para a inexecução total do contrato prevista na alínea “c” do subitem 12.1, de </w:t>
      </w:r>
      <w:r>
        <w:rPr>
          <w:rFonts w:ascii="Arial" w:hAnsi="Arial"/>
          <w:b w:val="false"/>
          <w:i w:val="false"/>
          <w:caps w:val="false"/>
          <w:smallCaps w:val="false"/>
          <w:color w:val="FF0000"/>
          <w:spacing w:val="0"/>
          <w:sz w:val="20"/>
          <w:szCs w:val="20"/>
          <w:highlight w:val="yellow"/>
        </w:rPr>
        <w:t>10% a 30%</w:t>
      </w:r>
      <w:r>
        <w:rPr>
          <w:rFonts w:ascii="Arial" w:hAnsi="Arial"/>
          <w:b w:val="false"/>
          <w:i w:val="false"/>
          <w:caps w:val="false"/>
          <w:smallCaps w:val="false"/>
          <w:color w:val="000000"/>
          <w:spacing w:val="0"/>
          <w:sz w:val="20"/>
          <w:szCs w:val="20"/>
          <w:highlight w:val="yellow"/>
        </w:rPr>
        <w:t> do valor do Contrato.</w:t>
      </w:r>
    </w:p>
    <w:p>
      <w:pPr>
        <w:pStyle w:val="Corpodotexto"/>
        <w:widowControl/>
        <w:spacing w:before="120" w:after="120"/>
        <w:ind w:left="120" w:right="120" w:hanging="0"/>
        <w:jc w:val="both"/>
        <w:rPr>
          <w:rFonts w:ascii="Arial" w:hAnsi="Arial"/>
          <w:b w:val="false"/>
          <w:b w:val="false"/>
          <w:i w:val="false"/>
          <w:i w:val="false"/>
          <w:caps w:val="false"/>
          <w:smallCaps w:val="false"/>
          <w:color w:val="000000"/>
          <w:spacing w:val="0"/>
          <w:sz w:val="20"/>
          <w:szCs w:val="20"/>
          <w:highlight w:val="yellow"/>
        </w:rPr>
      </w:pPr>
      <w:r>
        <w:rPr>
          <w:rFonts w:ascii="Arial" w:hAnsi="Arial"/>
          <w:b w:val="false"/>
          <w:i w:val="false"/>
          <w:caps w:val="false"/>
          <w:smallCaps w:val="false"/>
          <w:color w:val="000000"/>
          <w:spacing w:val="0"/>
          <w:sz w:val="20"/>
          <w:szCs w:val="20"/>
          <w:highlight w:val="yellow"/>
        </w:rPr>
        <w:t>(5) Para infração descrita na alínea “b” do subitem 12.1, a multa será de</w:t>
      </w:r>
      <w:r>
        <w:rPr>
          <w:rFonts w:ascii="Arial" w:hAnsi="Arial"/>
          <w:b w:val="false"/>
          <w:i w:val="false"/>
          <w:caps w:val="false"/>
          <w:smallCaps w:val="false"/>
          <w:color w:val="FF0000"/>
          <w:spacing w:val="0"/>
          <w:sz w:val="20"/>
          <w:szCs w:val="20"/>
          <w:highlight w:val="yellow"/>
        </w:rPr>
        <w:t> 10% a 30%</w:t>
      </w:r>
      <w:r>
        <w:rPr>
          <w:rFonts w:ascii="Arial" w:hAnsi="Arial"/>
          <w:b w:val="false"/>
          <w:i w:val="false"/>
          <w:caps w:val="false"/>
          <w:smallCaps w:val="false"/>
          <w:color w:val="000000"/>
          <w:spacing w:val="0"/>
          <w:sz w:val="20"/>
          <w:szCs w:val="20"/>
          <w:highlight w:val="yellow"/>
        </w:rPr>
        <w:t> do valor do Contrato.</w:t>
      </w:r>
    </w:p>
    <w:p>
      <w:pPr>
        <w:pStyle w:val="Corpodotexto"/>
        <w:widowControl/>
        <w:spacing w:before="120" w:after="120"/>
        <w:ind w:left="120" w:right="120" w:hanging="0"/>
        <w:jc w:val="both"/>
        <w:rPr>
          <w:rFonts w:ascii="Arial" w:hAnsi="Arial"/>
          <w:b w:val="false"/>
          <w:b w:val="false"/>
          <w:i w:val="false"/>
          <w:i w:val="false"/>
          <w:caps w:val="false"/>
          <w:smallCaps w:val="false"/>
          <w:color w:val="000000"/>
          <w:spacing w:val="0"/>
          <w:sz w:val="20"/>
          <w:szCs w:val="20"/>
          <w:highlight w:val="yellow"/>
        </w:rPr>
      </w:pPr>
      <w:r>
        <w:rPr>
          <w:rFonts w:ascii="Arial" w:hAnsi="Arial"/>
          <w:b w:val="false"/>
          <w:i w:val="false"/>
          <w:caps w:val="false"/>
          <w:smallCaps w:val="false"/>
          <w:color w:val="000000"/>
          <w:spacing w:val="0"/>
          <w:sz w:val="20"/>
          <w:szCs w:val="20"/>
          <w:highlight w:val="yellow"/>
        </w:rPr>
        <w:t>(6) Para infrações descritas na alínea “d” do subitem 12.1, a multa será de 10% a 30% do valor do Contrato.</w:t>
      </w:r>
    </w:p>
    <w:p>
      <w:pPr>
        <w:pStyle w:val="Corpodotexto"/>
        <w:widowControl/>
        <w:spacing w:before="120" w:after="120"/>
        <w:ind w:left="120" w:right="120" w:hanging="0"/>
        <w:jc w:val="both"/>
        <w:rPr/>
      </w:pPr>
      <w:r>
        <w:rPr>
          <w:rFonts w:ascii="Arial" w:hAnsi="Arial"/>
          <w:b w:val="false"/>
          <w:i w:val="false"/>
          <w:caps w:val="false"/>
          <w:smallCaps w:val="false"/>
          <w:color w:val="000000"/>
          <w:spacing w:val="0"/>
          <w:sz w:val="20"/>
          <w:szCs w:val="20"/>
          <w:highlight w:val="yellow"/>
        </w:rPr>
        <w:t>(7) Para a infração descrita na alínea “a” do subitem 12.1, a multa será de </w:t>
      </w:r>
      <w:r>
        <w:rPr>
          <w:rFonts w:ascii="Arial" w:hAnsi="Arial"/>
          <w:b w:val="false"/>
          <w:i w:val="false"/>
          <w:caps w:val="false"/>
          <w:smallCaps w:val="false"/>
          <w:color w:val="FF0000"/>
          <w:spacing w:val="0"/>
          <w:sz w:val="20"/>
          <w:szCs w:val="20"/>
          <w:highlight w:val="yellow"/>
        </w:rPr>
        <w:t>10% a 30% </w:t>
      </w:r>
      <w:r>
        <w:rPr>
          <w:rFonts w:ascii="Arial" w:hAnsi="Arial"/>
          <w:b w:val="false"/>
          <w:i w:val="false"/>
          <w:caps w:val="false"/>
          <w:smallCaps w:val="false"/>
          <w:color w:val="000000"/>
          <w:spacing w:val="0"/>
          <w:sz w:val="20"/>
          <w:szCs w:val="20"/>
          <w:highlight w:val="yellow"/>
        </w:rPr>
        <w:t>do valor do Contrato.</w:t>
      </w:r>
    </w:p>
    <w:p>
      <w:pPr>
        <w:pStyle w:val="Corpodotexto"/>
        <w:widowControl/>
        <w:spacing w:before="120" w:after="120"/>
        <w:ind w:left="120" w:right="120" w:hanging="0"/>
        <w:jc w:val="both"/>
        <w:rPr/>
      </w:pPr>
      <w:r>
        <w:rPr>
          <w:rFonts w:ascii="Arial" w:hAnsi="Arial"/>
          <w:b w:val="false"/>
          <w:i w:val="false"/>
          <w:caps w:val="false"/>
          <w:smallCaps w:val="false"/>
          <w:color w:val="000000"/>
          <w:spacing w:val="0"/>
          <w:sz w:val="20"/>
          <w:szCs w:val="20"/>
          <w:highlight w:val="yellow"/>
        </w:rPr>
        <w:t>(8) Para as infrações descritas na tabela abaixo, a multa será de</w:t>
      </w:r>
      <w:r>
        <w:rPr>
          <w:rFonts w:ascii="Arial" w:hAnsi="Arial"/>
          <w:b w:val="false"/>
          <w:i w:val="false"/>
          <w:caps w:val="false"/>
          <w:smallCaps w:val="false"/>
          <w:color w:val="FF4000"/>
          <w:spacing w:val="0"/>
          <w:sz w:val="20"/>
          <w:szCs w:val="20"/>
          <w:highlight w:val="yellow"/>
        </w:rPr>
        <w:t xml:space="preserve"> 1% à 3%</w:t>
      </w:r>
      <w:r>
        <w:rPr>
          <w:rFonts w:ascii="Arial" w:hAnsi="Arial"/>
          <w:b w:val="false"/>
          <w:i w:val="false"/>
          <w:caps w:val="false"/>
          <w:smallCaps w:val="false"/>
          <w:color w:val="000000"/>
          <w:spacing w:val="0"/>
          <w:sz w:val="20"/>
          <w:szCs w:val="20"/>
          <w:highlight w:val="yellow"/>
        </w:rPr>
        <w:t xml:space="preserve"> ao dia sobre o valor mensal do contrato, conforme o grau.</w:t>
      </w:r>
    </w:p>
    <w:p>
      <w:pPr>
        <w:pStyle w:val="Corpodotexto"/>
        <w:widowControl/>
        <w:spacing w:before="120" w:after="120"/>
        <w:ind w:left="120" w:right="120" w:hanging="0"/>
        <w:jc w:val="both"/>
        <w:rPr>
          <w:rFonts w:ascii="Arial" w:hAnsi="Arial"/>
          <w:b w:val="false"/>
          <w:b w:val="false"/>
          <w:i w:val="false"/>
          <w:i w:val="false"/>
          <w:caps w:val="false"/>
          <w:smallCaps w:val="false"/>
          <w:color w:val="000000"/>
          <w:spacing w:val="0"/>
          <w:sz w:val="20"/>
          <w:szCs w:val="20"/>
          <w:highlight w:val="yellow"/>
        </w:rPr>
      </w:pPr>
      <w:r>
        <w:rPr>
          <w:rFonts w:ascii="Arial" w:hAnsi="Arial"/>
          <w:b w:val="false"/>
          <w:i w:val="false"/>
          <w:caps w:val="false"/>
          <w:smallCaps w:val="false"/>
          <w:color w:val="000000"/>
          <w:spacing w:val="0"/>
          <w:sz w:val="20"/>
          <w:szCs w:val="20"/>
          <w:highlight w:val="yellow"/>
        </w:rPr>
      </w:r>
    </w:p>
    <w:p>
      <w:pPr>
        <w:pStyle w:val="Corpodotexto"/>
        <w:widowControl/>
        <w:spacing w:before="120" w:after="120"/>
        <w:ind w:left="120" w:right="120" w:hanging="0"/>
        <w:jc w:val="both"/>
        <w:rPr/>
      </w:pPr>
      <w:r>
        <w:rPr>
          <w:rFonts w:ascii="Arial" w:hAnsi="Arial"/>
          <w:b w:val="false"/>
          <w:i w:val="false"/>
          <w:caps w:val="false"/>
          <w:smallCaps w:val="false"/>
          <w:color w:val="000000"/>
          <w:spacing w:val="0"/>
          <w:sz w:val="20"/>
          <w:szCs w:val="20"/>
          <w:highlight w:val="yellow"/>
        </w:rPr>
        <w:t>TABELA - infrações</w:t>
      </w:r>
    </w:p>
    <w:tbl>
      <w:tblPr>
        <w:tblW w:w="9638" w:type="dxa"/>
        <w:jc w:val="left"/>
        <w:tblInd w:w="0" w:type="dxa"/>
        <w:tblCellMar>
          <w:top w:w="55" w:type="dxa"/>
          <w:left w:w="55" w:type="dxa"/>
          <w:bottom w:w="55" w:type="dxa"/>
          <w:right w:w="55" w:type="dxa"/>
        </w:tblCellMar>
      </w:tblPr>
      <w:tblGrid>
        <w:gridCol w:w="6424"/>
        <w:gridCol w:w="3213"/>
      </w:tblGrid>
      <w:tr>
        <w:trPr/>
        <w:tc>
          <w:tcPr>
            <w:tcW w:w="6424" w:type="dxa"/>
            <w:tcBorders>
              <w:top w:val="single" w:sz="4" w:space="0" w:color="000000"/>
              <w:left w:val="single" w:sz="4" w:space="0" w:color="000000"/>
              <w:bottom w:val="single" w:sz="4" w:space="0" w:color="000000"/>
            </w:tcBorders>
            <w:shd w:fill="auto" w:val="clear"/>
          </w:tcPr>
          <w:p>
            <w:pPr>
              <w:pStyle w:val="Contedodatabela"/>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t>DESCRIÇÃO</w:t>
            </w:r>
          </w:p>
        </w:tc>
        <w:tc>
          <w:tcPr>
            <w:tcW w:w="3213" w:type="dxa"/>
            <w:tcBorders>
              <w:top w:val="single" w:sz="4" w:space="0" w:color="000000"/>
              <w:left w:val="single" w:sz="4" w:space="0" w:color="000000"/>
              <w:bottom w:val="single" w:sz="4" w:space="0" w:color="000000"/>
              <w:right w:val="single" w:sz="4" w:space="0" w:color="000000"/>
            </w:tcBorders>
            <w:shd w:fill="auto" w:val="clear"/>
          </w:tcPr>
          <w:p>
            <w:pPr>
              <w:pStyle w:val="Contedodatabela"/>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t>GRAU</w:t>
            </w:r>
          </w:p>
        </w:tc>
      </w:tr>
      <w:tr>
        <w:trPr/>
        <w:tc>
          <w:tcPr>
            <w:tcW w:w="6424" w:type="dxa"/>
            <w:tcBorders>
              <w:left w:val="single" w:sz="4" w:space="0" w:color="000000"/>
              <w:bottom w:val="single" w:sz="4" w:space="0" w:color="000000"/>
            </w:tcBorders>
            <w:shd w:fill="auto" w:val="clear"/>
          </w:tcPr>
          <w:p>
            <w:pPr>
              <w:pStyle w:val="Contedodatabela"/>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t>Deixar de apresentar, quando solicitada pela contratante, as carteiras de motorista (CNH), carteiras de trabalho e outros documentos</w:t>
            </w:r>
          </w:p>
        </w:tc>
        <w:tc>
          <w:tcPr>
            <w:tcW w:w="3213" w:type="dxa"/>
            <w:tcBorders>
              <w:left w:val="single" w:sz="4" w:space="0" w:color="000000"/>
              <w:bottom w:val="single" w:sz="4" w:space="0" w:color="000000"/>
              <w:right w:val="single" w:sz="4" w:space="0" w:color="000000"/>
            </w:tcBorders>
            <w:shd w:fill="auto" w:val="clear"/>
          </w:tcPr>
          <w:p>
            <w:pPr>
              <w:pStyle w:val="Contedodatabela"/>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t>2</w:t>
            </w:r>
          </w:p>
        </w:tc>
      </w:tr>
      <w:tr>
        <w:trPr/>
        <w:tc>
          <w:tcPr>
            <w:tcW w:w="6424" w:type="dxa"/>
            <w:tcBorders>
              <w:left w:val="single" w:sz="4" w:space="0" w:color="000000"/>
              <w:bottom w:val="single" w:sz="4" w:space="0" w:color="000000"/>
            </w:tcBorders>
            <w:shd w:fill="auto" w:val="clear"/>
          </w:tcPr>
          <w:p>
            <w:pPr>
              <w:pStyle w:val="Contedodatabela"/>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t>Suspender ou interromper, salvo motivo de força maior ou caso fortuito, os serviços contratuais</w:t>
            </w:r>
          </w:p>
        </w:tc>
        <w:tc>
          <w:tcPr>
            <w:tcW w:w="3213" w:type="dxa"/>
            <w:tcBorders>
              <w:left w:val="single" w:sz="4" w:space="0" w:color="000000"/>
              <w:bottom w:val="single" w:sz="4" w:space="0" w:color="000000"/>
              <w:right w:val="single" w:sz="4" w:space="0" w:color="000000"/>
            </w:tcBorders>
            <w:shd w:fill="auto" w:val="clear"/>
          </w:tcPr>
          <w:p>
            <w:pPr>
              <w:pStyle w:val="Contedodatabela"/>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t>3</w:t>
            </w:r>
          </w:p>
        </w:tc>
      </w:tr>
      <w:tr>
        <w:trPr/>
        <w:tc>
          <w:tcPr>
            <w:tcW w:w="6424" w:type="dxa"/>
            <w:tcBorders>
              <w:left w:val="single" w:sz="4" w:space="0" w:color="000000"/>
              <w:bottom w:val="single" w:sz="4" w:space="0" w:color="000000"/>
            </w:tcBorders>
            <w:shd w:fill="auto" w:val="clear"/>
          </w:tcPr>
          <w:p>
            <w:pPr>
              <w:pStyle w:val="Contedodatabela"/>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t>Manter funcionário sem qualificação para executar os serviços contratados, por empregado</w:t>
            </w:r>
          </w:p>
        </w:tc>
        <w:tc>
          <w:tcPr>
            <w:tcW w:w="3213" w:type="dxa"/>
            <w:tcBorders>
              <w:left w:val="single" w:sz="4" w:space="0" w:color="000000"/>
              <w:bottom w:val="single" w:sz="4" w:space="0" w:color="000000"/>
              <w:right w:val="single" w:sz="4" w:space="0" w:color="000000"/>
            </w:tcBorders>
            <w:shd w:fill="auto" w:val="clear"/>
          </w:tcPr>
          <w:p>
            <w:pPr>
              <w:pStyle w:val="Contedodatabela"/>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t>2</w:t>
            </w:r>
          </w:p>
        </w:tc>
      </w:tr>
      <w:tr>
        <w:trPr/>
        <w:tc>
          <w:tcPr>
            <w:tcW w:w="6424" w:type="dxa"/>
            <w:tcBorders>
              <w:left w:val="single" w:sz="4" w:space="0" w:color="000000"/>
              <w:bottom w:val="single" w:sz="4" w:space="0" w:color="000000"/>
            </w:tcBorders>
            <w:shd w:fill="auto" w:val="clear"/>
          </w:tcPr>
          <w:p>
            <w:pPr>
              <w:pStyle w:val="Contedodatabela"/>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t>Recusar-se a executar serviço determinado pela fiscalização</w:t>
            </w:r>
          </w:p>
        </w:tc>
        <w:tc>
          <w:tcPr>
            <w:tcW w:w="3213" w:type="dxa"/>
            <w:tcBorders>
              <w:left w:val="single" w:sz="4" w:space="0" w:color="000000"/>
              <w:bottom w:val="single" w:sz="4" w:space="0" w:color="000000"/>
              <w:right w:val="single" w:sz="4" w:space="0" w:color="000000"/>
            </w:tcBorders>
            <w:shd w:fill="auto" w:val="clear"/>
          </w:tcPr>
          <w:p>
            <w:pPr>
              <w:pStyle w:val="Contedodatabela"/>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t>2</w:t>
            </w:r>
          </w:p>
        </w:tc>
      </w:tr>
      <w:tr>
        <w:trPr/>
        <w:tc>
          <w:tcPr>
            <w:tcW w:w="6424" w:type="dxa"/>
            <w:tcBorders>
              <w:left w:val="single" w:sz="4" w:space="0" w:color="000000"/>
              <w:bottom w:val="single" w:sz="4" w:space="0" w:color="000000"/>
            </w:tcBorders>
            <w:shd w:fill="auto" w:val="clear"/>
          </w:tcPr>
          <w:p>
            <w:pPr>
              <w:pStyle w:val="Contedodatabela"/>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t>Retirar funcionários do serviço durante o expediente, sem anuência prévia do contratante</w:t>
            </w:r>
          </w:p>
        </w:tc>
        <w:tc>
          <w:tcPr>
            <w:tcW w:w="3213" w:type="dxa"/>
            <w:tcBorders>
              <w:left w:val="single" w:sz="4" w:space="0" w:color="000000"/>
              <w:bottom w:val="single" w:sz="4" w:space="0" w:color="000000"/>
              <w:right w:val="single" w:sz="4" w:space="0" w:color="000000"/>
            </w:tcBorders>
            <w:shd w:fill="auto" w:val="clear"/>
          </w:tcPr>
          <w:p>
            <w:pPr>
              <w:pStyle w:val="Contedodatabela"/>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t>3</w:t>
            </w:r>
          </w:p>
        </w:tc>
      </w:tr>
      <w:tr>
        <w:trPr/>
        <w:tc>
          <w:tcPr>
            <w:tcW w:w="6424" w:type="dxa"/>
            <w:tcBorders>
              <w:left w:val="single" w:sz="4" w:space="0" w:color="000000"/>
              <w:bottom w:val="single" w:sz="4" w:space="0" w:color="000000"/>
            </w:tcBorders>
            <w:shd w:fill="auto" w:val="clear"/>
          </w:tcPr>
          <w:p>
            <w:pPr>
              <w:pStyle w:val="Contedodatabela"/>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t>Deixar de apresentar registro de frequência de seus empregados, quando solicitado</w:t>
            </w:r>
          </w:p>
        </w:tc>
        <w:tc>
          <w:tcPr>
            <w:tcW w:w="3213" w:type="dxa"/>
            <w:tcBorders>
              <w:left w:val="single" w:sz="4" w:space="0" w:color="000000"/>
              <w:bottom w:val="single" w:sz="4" w:space="0" w:color="000000"/>
              <w:right w:val="single" w:sz="4" w:space="0" w:color="000000"/>
            </w:tcBorders>
            <w:shd w:fill="auto" w:val="clear"/>
          </w:tcPr>
          <w:p>
            <w:pPr>
              <w:pStyle w:val="Contedodatabela"/>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t>1</w:t>
            </w:r>
          </w:p>
        </w:tc>
      </w:tr>
      <w:tr>
        <w:trPr/>
        <w:tc>
          <w:tcPr>
            <w:tcW w:w="6424" w:type="dxa"/>
            <w:tcBorders>
              <w:left w:val="single" w:sz="4" w:space="0" w:color="000000"/>
              <w:bottom w:val="single" w:sz="4" w:space="0" w:color="000000"/>
            </w:tcBorders>
            <w:shd w:fill="auto" w:val="clear"/>
          </w:tcPr>
          <w:p>
            <w:pPr>
              <w:pStyle w:val="Contedodatabela"/>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t>Deixar de cumprir determinação formal ou instrução complementar de órgão fiscalizador</w:t>
            </w:r>
          </w:p>
        </w:tc>
        <w:tc>
          <w:tcPr>
            <w:tcW w:w="3213" w:type="dxa"/>
            <w:tcBorders>
              <w:left w:val="single" w:sz="4" w:space="0" w:color="000000"/>
              <w:bottom w:val="single" w:sz="4" w:space="0" w:color="000000"/>
              <w:right w:val="single" w:sz="4" w:space="0" w:color="000000"/>
            </w:tcBorders>
            <w:shd w:fill="auto" w:val="clear"/>
          </w:tcPr>
          <w:p>
            <w:pPr>
              <w:pStyle w:val="Contedodatabela"/>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t>3</w:t>
            </w:r>
          </w:p>
        </w:tc>
      </w:tr>
      <w:tr>
        <w:trPr/>
        <w:tc>
          <w:tcPr>
            <w:tcW w:w="6424" w:type="dxa"/>
            <w:tcBorders>
              <w:left w:val="single" w:sz="4" w:space="0" w:color="000000"/>
              <w:bottom w:val="single" w:sz="4" w:space="0" w:color="000000"/>
            </w:tcBorders>
            <w:shd w:fill="auto" w:val="clear"/>
          </w:tcPr>
          <w:p>
            <w:pPr>
              <w:pStyle w:val="Contedodatabela"/>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t>Deixar de substituir empregado que conduza de modo inconveniente ou que não atenda às necessidades do serviço</w:t>
            </w:r>
          </w:p>
        </w:tc>
        <w:tc>
          <w:tcPr>
            <w:tcW w:w="3213" w:type="dxa"/>
            <w:tcBorders>
              <w:left w:val="single" w:sz="4" w:space="0" w:color="000000"/>
              <w:bottom w:val="single" w:sz="4" w:space="0" w:color="000000"/>
              <w:right w:val="single" w:sz="4" w:space="0" w:color="000000"/>
            </w:tcBorders>
            <w:shd w:fill="auto" w:val="clear"/>
          </w:tcPr>
          <w:p>
            <w:pPr>
              <w:pStyle w:val="Contedodatabela"/>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t>1</w:t>
            </w:r>
          </w:p>
        </w:tc>
      </w:tr>
      <w:tr>
        <w:trPr/>
        <w:tc>
          <w:tcPr>
            <w:tcW w:w="6424" w:type="dxa"/>
            <w:tcBorders>
              <w:left w:val="single" w:sz="4" w:space="0" w:color="000000"/>
              <w:bottom w:val="single" w:sz="4" w:space="0" w:color="000000"/>
            </w:tcBorders>
            <w:shd w:fill="auto" w:val="clear"/>
          </w:tcPr>
          <w:p>
            <w:pPr>
              <w:pStyle w:val="Contedodatabela"/>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t>Deixar de cumprir quaisquer dos itens do edital, termo derefeência e anexos, após formalmente notificada</w:t>
            </w:r>
          </w:p>
        </w:tc>
        <w:tc>
          <w:tcPr>
            <w:tcW w:w="3213" w:type="dxa"/>
            <w:tcBorders>
              <w:left w:val="single" w:sz="4" w:space="0" w:color="000000"/>
              <w:bottom w:val="single" w:sz="4" w:space="0" w:color="000000"/>
              <w:right w:val="single" w:sz="4" w:space="0" w:color="000000"/>
            </w:tcBorders>
            <w:shd w:fill="auto" w:val="clear"/>
          </w:tcPr>
          <w:p>
            <w:pPr>
              <w:pStyle w:val="Contedodatabela"/>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t>2</w:t>
            </w:r>
          </w:p>
        </w:tc>
      </w:tr>
      <w:tr>
        <w:trPr/>
        <w:tc>
          <w:tcPr>
            <w:tcW w:w="6424" w:type="dxa"/>
            <w:tcBorders>
              <w:left w:val="single" w:sz="4" w:space="0" w:color="000000"/>
              <w:bottom w:val="single" w:sz="4" w:space="0" w:color="000000"/>
            </w:tcBorders>
            <w:shd w:fill="auto" w:val="clear"/>
          </w:tcPr>
          <w:p>
            <w:pPr>
              <w:pStyle w:val="Contedodatabela"/>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t>Deixar de providenciar treinamento para seus funcionários, conforme previsto em termo de referencia, contrato e anexos</w:t>
            </w:r>
          </w:p>
        </w:tc>
        <w:tc>
          <w:tcPr>
            <w:tcW w:w="3213" w:type="dxa"/>
            <w:tcBorders>
              <w:left w:val="single" w:sz="4" w:space="0" w:color="000000"/>
              <w:bottom w:val="single" w:sz="4" w:space="0" w:color="000000"/>
              <w:right w:val="single" w:sz="4" w:space="0" w:color="000000"/>
            </w:tcBorders>
            <w:shd w:fill="auto" w:val="clear"/>
          </w:tcPr>
          <w:p>
            <w:pPr>
              <w:pStyle w:val="Contedodatabela"/>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t>1</w:t>
            </w:r>
          </w:p>
          <w:p>
            <w:pPr>
              <w:pStyle w:val="Contedodatabela"/>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r>
      <w:tr>
        <w:trPr/>
        <w:tc>
          <w:tcPr>
            <w:tcW w:w="6424" w:type="dxa"/>
            <w:tcBorders>
              <w:left w:val="single" w:sz="4" w:space="0" w:color="000000"/>
              <w:bottom w:val="single" w:sz="4" w:space="0" w:color="000000"/>
            </w:tcBorders>
            <w:shd w:fill="auto" w:val="clear"/>
          </w:tcPr>
          <w:p>
            <w:pPr>
              <w:pStyle w:val="Contedodatabela"/>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t>Atrasar pagamento de salários, diárias e demais valores devidos aos seus funcionários</w:t>
            </w:r>
          </w:p>
        </w:tc>
        <w:tc>
          <w:tcPr>
            <w:tcW w:w="3213" w:type="dxa"/>
            <w:tcBorders>
              <w:left w:val="single" w:sz="4" w:space="0" w:color="000000"/>
              <w:bottom w:val="single" w:sz="4" w:space="0" w:color="000000"/>
              <w:right w:val="single" w:sz="4" w:space="0" w:color="000000"/>
            </w:tcBorders>
            <w:shd w:fill="auto" w:val="clear"/>
          </w:tcPr>
          <w:p>
            <w:pPr>
              <w:pStyle w:val="Contedodatabela"/>
              <w:jc w:val="left"/>
              <w:rPr>
                <w:rFonts w:ascii="Liberation Serif" w:hAnsi="Liberation Serif"/>
                <w:b w:val="false"/>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t>1</w:t>
            </w:r>
          </w:p>
        </w:tc>
      </w:tr>
    </w:tbl>
    <w:p>
      <w:pPr>
        <w:pStyle w:val="Corpodotexto"/>
        <w:widowControl/>
        <w:spacing w:before="120" w:after="120"/>
        <w:ind w:left="120" w:right="120" w:hanging="0"/>
        <w:jc w:val="both"/>
        <w:rPr/>
      </w:pPr>
      <w:r>
        <w:rPr/>
        <w:commentReference w:id="22"/>
      </w:r>
    </w:p>
    <w:p>
      <w:pPr>
        <w:pStyle w:val="Nivel2"/>
        <w:numPr>
          <w:ilvl w:val="1"/>
          <w:numId w:val="1"/>
        </w:numPr>
        <w:ind w:left="0" w:hanging="0"/>
        <w:rPr/>
      </w:pPr>
      <w:r>
        <w:rPr/>
        <w:t>A aplicação das sanções previstas neste Contrato não exclui, em hipótese alguma, a obrigação de reparação integral do dano causado ao Contratante (</w:t>
      </w:r>
      <w:r>
        <w:fldChar w:fldCharType="begin"/>
      </w:r>
      <w:r>
        <w:rPr>
          <w:rStyle w:val="LinkdaInternet"/>
        </w:rPr>
        <w:instrText> HYPERLINK "http://www.planalto.gov.br/ccivil_03/_ato2019-2022/2021/lei/L14133.htm" \l "art156§9"</w:instrText>
      </w:r>
      <w:r>
        <w:rPr>
          <w:rStyle w:val="LinkdaInternet"/>
        </w:rPr>
        <w:fldChar w:fldCharType="separate"/>
      </w:r>
      <w:r>
        <w:rPr>
          <w:rStyle w:val="LinkdaInternet"/>
        </w:rPr>
        <w:t>art. 156, §9º, da Lei nº 14.133, de 2021</w:t>
      </w:r>
      <w:r>
        <w:rPr>
          <w:rStyle w:val="LinkdaInternet"/>
        </w:rPr>
        <w:fldChar w:fldCharType="end"/>
      </w:r>
      <w:r>
        <w:rPr/>
        <w:t>)</w:t>
      </w:r>
    </w:p>
    <w:p>
      <w:pPr>
        <w:pStyle w:val="Nivel2"/>
        <w:numPr>
          <w:ilvl w:val="1"/>
          <w:numId w:val="1"/>
        </w:numPr>
        <w:ind w:left="0" w:hanging="0"/>
        <w:rPr/>
      </w:pPr>
      <w:r>
        <w:rPr/>
        <w:t>Todas as sanções previstas neste Contrato poderão ser aplicadas cumulativamente com a multa (</w:t>
      </w:r>
      <w:r>
        <w:fldChar w:fldCharType="begin"/>
      </w:r>
      <w:r>
        <w:rPr>
          <w:rStyle w:val="LinkdaInternet"/>
        </w:rPr>
        <w:instrText> HYPERLINK "http://www.planalto.gov.br/ccivil_03/_ato2019-2022/2021/lei/L14133.htm" \l "art156§7"</w:instrText>
      </w:r>
      <w:r>
        <w:rPr>
          <w:rStyle w:val="LinkdaInternet"/>
        </w:rPr>
        <w:fldChar w:fldCharType="separate"/>
      </w:r>
      <w:r>
        <w:rPr>
          <w:rStyle w:val="LinkdaInternet"/>
        </w:rPr>
        <w:t>art. 156, §7º, da Lei nº 14.133, de 2021</w:t>
      </w:r>
      <w:r>
        <w:rPr>
          <w:rStyle w:val="LinkdaInternet"/>
        </w:rPr>
        <w:fldChar w:fldCharType="end"/>
      </w:r>
      <w:r>
        <w:rPr/>
        <w:t>).</w:t>
      </w:r>
    </w:p>
    <w:p>
      <w:pPr>
        <w:pStyle w:val="Nivel3"/>
        <w:numPr>
          <w:ilvl w:val="2"/>
          <w:numId w:val="1"/>
        </w:numPr>
        <w:ind w:left="284" w:hanging="0"/>
        <w:rPr/>
      </w:pPr>
      <w:r>
        <w:rPr/>
        <w:t>Antes da aplicação da multa será facultada a defesa do interessado no prazo de 15 (quinze) dias úteis, contado da data de sua intimação (</w:t>
      </w:r>
      <w:r>
        <w:fldChar w:fldCharType="begin"/>
      </w:r>
      <w:r>
        <w:rPr>
          <w:rStyle w:val="LinkdaInternet"/>
        </w:rPr>
        <w:instrText> HYPERLINK "http://www.planalto.gov.br/ccivil_03/_ato2019-2022/2021/lei/L14133.htm" \l "art157"</w:instrText>
      </w:r>
      <w:r>
        <w:rPr>
          <w:rStyle w:val="LinkdaInternet"/>
        </w:rPr>
        <w:fldChar w:fldCharType="separate"/>
      </w:r>
      <w:r>
        <w:rPr>
          <w:rStyle w:val="LinkdaInternet"/>
        </w:rPr>
        <w:t>art. 157, da Lei nº 14.133, de 2021</w:t>
      </w:r>
      <w:r>
        <w:rPr>
          <w:rStyle w:val="LinkdaInternet"/>
        </w:rPr>
        <w:fldChar w:fldCharType="end"/>
      </w:r>
      <w:r>
        <w:rPr/>
        <w:t>)</w:t>
      </w:r>
    </w:p>
    <w:p>
      <w:pPr>
        <w:pStyle w:val="Nivel3"/>
        <w:numPr>
          <w:ilvl w:val="2"/>
          <w:numId w:val="1"/>
        </w:numPr>
        <w:ind w:left="284" w:hanging="0"/>
        <w:rPr/>
      </w:pPr>
      <w:r>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rPr>
          <w:rStyle w:val="LinkdaInternet"/>
        </w:rPr>
        <w:instrText> HYPERLINK "http://www.planalto.gov.br/ccivil_03/_ato2019-2022/2021/lei/L14133.htm" \l "art156§8"</w:instrText>
      </w:r>
      <w:r>
        <w:rPr>
          <w:rStyle w:val="LinkdaInternet"/>
        </w:rPr>
        <w:fldChar w:fldCharType="separate"/>
      </w:r>
      <w:r>
        <w:rPr>
          <w:rStyle w:val="LinkdaInternet"/>
        </w:rPr>
        <w:t>art. 156, §8º, da Lei nº 14.133, de 2021</w:t>
      </w:r>
      <w:r>
        <w:rPr>
          <w:rStyle w:val="LinkdaInternet"/>
        </w:rPr>
        <w:fldChar w:fldCharType="end"/>
      </w:r>
      <w:r>
        <w:rPr/>
        <w:t>).</w:t>
      </w:r>
    </w:p>
    <w:p>
      <w:pPr>
        <w:pStyle w:val="Nivel3"/>
        <w:numPr>
          <w:ilvl w:val="2"/>
          <w:numId w:val="1"/>
        </w:numPr>
        <w:ind w:left="284" w:hanging="0"/>
        <w:rPr/>
      </w:pPr>
      <w:r>
        <w:rPr/>
        <w:t xml:space="preserve">Previamente ao encaminhamento à cobrança judicial, a multa poderá ser recolhida administrativamente no prazo máximo de </w:t>
      </w:r>
      <w:r>
        <w:rPr>
          <w:color w:val="FF0000"/>
        </w:rPr>
        <w:t>15 (quinze)</w:t>
      </w:r>
      <w:r>
        <w:rPr>
          <w:i/>
          <w:iCs/>
          <w:color w:val="FF0000"/>
        </w:rPr>
        <w:t xml:space="preserve"> </w:t>
      </w:r>
      <w:r>
        <w:rPr/>
        <w:t>dias, a contar da data do recebimento da comunicação enviada pela autoridade competente.</w:t>
      </w:r>
      <w:bookmarkStart w:id="8" w:name="_Hlk78351618"/>
      <w:bookmarkEnd w:id="8"/>
    </w:p>
    <w:p>
      <w:pPr>
        <w:pStyle w:val="Nivel2"/>
        <w:numPr>
          <w:ilvl w:val="1"/>
          <w:numId w:val="1"/>
        </w:numPr>
        <w:ind w:left="0" w:hanging="0"/>
        <w:rPr/>
      </w:pPr>
      <w:r>
        <w:rPr/>
        <w:t xml:space="preserve">A aplicação das sanções realizar-se-á em processo administrativo que assegure o contraditório e a ampla defesa ao Contratado, observando-se o procedimento previsto no </w:t>
      </w:r>
      <w:r>
        <w:rPr>
          <w:b/>
          <w:bCs/>
        </w:rPr>
        <w:t xml:space="preserve">caput </w:t>
      </w:r>
      <w:r>
        <w:rPr/>
        <w:t xml:space="preserve">e parágrafos do </w:t>
      </w:r>
      <w:r>
        <w:fldChar w:fldCharType="begin"/>
      </w:r>
      <w:r>
        <w:rPr>
          <w:rStyle w:val="LinkdaInternet"/>
        </w:rPr>
        <w:instrText> HYPERLINK "http://www.planalto.gov.br/ccivil_03/_ato2019-2022/2021/lei/L14133.htm" \l "art158"</w:instrText>
      </w:r>
      <w:r>
        <w:rPr>
          <w:rStyle w:val="LinkdaInternet"/>
        </w:rPr>
        <w:fldChar w:fldCharType="separate"/>
      </w:r>
      <w:r>
        <w:rPr>
          <w:rStyle w:val="LinkdaInternet"/>
        </w:rPr>
        <w:t>art. 158 da Lei nº 14.133, de 2021</w:t>
      </w:r>
      <w:r>
        <w:rPr>
          <w:rStyle w:val="LinkdaInternet"/>
        </w:rPr>
        <w:fldChar w:fldCharType="end"/>
      </w:r>
      <w:r>
        <w:rPr/>
        <w:t>, para as penalidades de impedimento de licitar e contratar e de declaração de inidoneidade para licitar ou contratar.</w:t>
      </w:r>
    </w:p>
    <w:p>
      <w:pPr>
        <w:pStyle w:val="Nivel2"/>
        <w:numPr>
          <w:ilvl w:val="1"/>
          <w:numId w:val="1"/>
        </w:numPr>
        <w:ind w:left="0" w:hanging="0"/>
        <w:rPr/>
      </w:pPr>
      <w:r>
        <w:rPr/>
        <w:t>Na aplicação das sanções serão considerados (</w:t>
      </w:r>
      <w:r>
        <w:fldChar w:fldCharType="begin"/>
      </w:r>
      <w:r>
        <w:rPr>
          <w:rStyle w:val="LinkdaInternet"/>
        </w:rPr>
        <w:instrText> HYPERLINK "http://www.planalto.gov.br/ccivil_03/_ato2019-2022/2021/lei/L14133.htm" \l "art156§1"</w:instrText>
      </w:r>
      <w:r>
        <w:rPr>
          <w:rStyle w:val="LinkdaInternet"/>
        </w:rPr>
        <w:fldChar w:fldCharType="separate"/>
      </w:r>
      <w:r>
        <w:rPr>
          <w:rStyle w:val="LinkdaInternet"/>
        </w:rPr>
        <w:t>art. 156, §1º, da Lei nº 14.133, de 2021</w:t>
      </w:r>
      <w:r>
        <w:rPr>
          <w:rStyle w:val="LinkdaInternet"/>
        </w:rPr>
        <w:fldChar w:fldCharType="end"/>
      </w:r>
      <w:r>
        <w:rPr/>
        <w:t>):</w:t>
      </w:r>
    </w:p>
    <w:p>
      <w:pPr>
        <w:pStyle w:val="Normal"/>
        <w:numPr>
          <w:ilvl w:val="0"/>
          <w:numId w:val="3"/>
        </w:numPr>
        <w:suppressAutoHyphens w:val="true"/>
        <w:spacing w:lineRule="auto" w:line="312" w:before="120" w:after="120"/>
        <w:ind w:left="284" w:hanging="0"/>
        <w:contextualSpacing/>
        <w:jc w:val="both"/>
        <w:rPr>
          <w:rFonts w:ascii="Arial" w:hAnsi="Arial" w:eastAsia="Arial" w:cs="Arial"/>
          <w:sz w:val="20"/>
          <w:szCs w:val="20"/>
        </w:rPr>
      </w:pPr>
      <w:r>
        <w:rPr>
          <w:rFonts w:eastAsia="Arial" w:cs="Arial" w:ascii="Arial" w:hAnsi="Arial"/>
          <w:sz w:val="20"/>
          <w:szCs w:val="20"/>
        </w:rPr>
        <w:t>a natureza e a gravidade da infração cometida;</w:t>
      </w:r>
    </w:p>
    <w:p>
      <w:pPr>
        <w:pStyle w:val="Normal"/>
        <w:numPr>
          <w:ilvl w:val="0"/>
          <w:numId w:val="3"/>
        </w:numPr>
        <w:suppressAutoHyphens w:val="true"/>
        <w:spacing w:lineRule="auto" w:line="312" w:before="120" w:after="120"/>
        <w:ind w:left="284" w:hanging="0"/>
        <w:contextualSpacing/>
        <w:jc w:val="both"/>
        <w:rPr>
          <w:rFonts w:ascii="Arial" w:hAnsi="Arial" w:eastAsia="Arial" w:cs="Arial"/>
          <w:sz w:val="20"/>
          <w:szCs w:val="20"/>
        </w:rPr>
      </w:pPr>
      <w:r>
        <w:rPr>
          <w:rFonts w:eastAsia="Arial" w:cs="Arial" w:ascii="Arial" w:hAnsi="Arial"/>
          <w:sz w:val="20"/>
          <w:szCs w:val="20"/>
        </w:rPr>
        <w:t>as peculiaridades do caso concreto;</w:t>
      </w:r>
    </w:p>
    <w:p>
      <w:pPr>
        <w:pStyle w:val="Normal"/>
        <w:numPr>
          <w:ilvl w:val="0"/>
          <w:numId w:val="3"/>
        </w:numPr>
        <w:suppressAutoHyphens w:val="true"/>
        <w:spacing w:lineRule="auto" w:line="312" w:before="120" w:after="120"/>
        <w:ind w:left="284" w:hanging="0"/>
        <w:contextualSpacing/>
        <w:jc w:val="both"/>
        <w:rPr>
          <w:rFonts w:ascii="Arial" w:hAnsi="Arial" w:eastAsia="Arial" w:cs="Arial"/>
          <w:sz w:val="20"/>
          <w:szCs w:val="20"/>
        </w:rPr>
      </w:pPr>
      <w:r>
        <w:rPr>
          <w:rFonts w:eastAsia="Arial" w:cs="Arial" w:ascii="Arial" w:hAnsi="Arial"/>
          <w:sz w:val="20"/>
          <w:szCs w:val="20"/>
        </w:rPr>
        <w:t>as circunstâncias agravantes ou atenuantes;</w:t>
      </w:r>
    </w:p>
    <w:p>
      <w:pPr>
        <w:pStyle w:val="Normal"/>
        <w:numPr>
          <w:ilvl w:val="0"/>
          <w:numId w:val="3"/>
        </w:numPr>
        <w:suppressAutoHyphens w:val="true"/>
        <w:spacing w:lineRule="auto" w:line="312" w:before="120" w:after="120"/>
        <w:ind w:left="284" w:hanging="0"/>
        <w:contextualSpacing/>
        <w:jc w:val="both"/>
        <w:rPr>
          <w:rFonts w:ascii="Arial" w:hAnsi="Arial" w:eastAsia="Arial" w:cs="Arial"/>
          <w:sz w:val="20"/>
          <w:szCs w:val="20"/>
        </w:rPr>
      </w:pPr>
      <w:r>
        <w:rPr>
          <w:rFonts w:eastAsia="Arial" w:cs="Arial" w:ascii="Arial" w:hAnsi="Arial"/>
          <w:sz w:val="20"/>
          <w:szCs w:val="20"/>
        </w:rPr>
        <w:t>os danos que dela provierem para o Contratante;</w:t>
      </w:r>
    </w:p>
    <w:p>
      <w:pPr>
        <w:pStyle w:val="Normal"/>
        <w:numPr>
          <w:ilvl w:val="0"/>
          <w:numId w:val="3"/>
        </w:numPr>
        <w:suppressAutoHyphens w:val="true"/>
        <w:spacing w:lineRule="auto" w:line="312" w:before="120" w:after="120"/>
        <w:ind w:left="284" w:hanging="0"/>
        <w:contextualSpacing/>
        <w:jc w:val="both"/>
        <w:rPr>
          <w:rFonts w:ascii="Arial" w:hAnsi="Arial" w:eastAsia="Arial" w:cs="Arial"/>
          <w:sz w:val="20"/>
          <w:szCs w:val="20"/>
        </w:rPr>
      </w:pPr>
      <w:r>
        <w:rPr>
          <w:rFonts w:eastAsia="Arial" w:cs="Arial" w:ascii="Arial" w:hAnsi="Arial"/>
          <w:sz w:val="20"/>
          <w:szCs w:val="20"/>
        </w:rPr>
        <w:t>a implantação ou o aperfeiçoamento de programa de integridade, conforme normas e orientações dos órgãos de controle.</w:t>
      </w:r>
    </w:p>
    <w:p>
      <w:pPr>
        <w:pStyle w:val="Nivel2"/>
        <w:numPr>
          <w:ilvl w:val="1"/>
          <w:numId w:val="1"/>
        </w:numPr>
        <w:ind w:left="0" w:hanging="0"/>
        <w:rPr/>
      </w:pPr>
      <w:r>
        <w:rPr/>
        <w:t xml:space="preserve">Os atos previstos como infrações administrativas na </w:t>
      </w:r>
      <w:hyperlink r:id="rId7">
        <w:r>
          <w:rPr>
            <w:rStyle w:val="LinkdaInternet"/>
          </w:rPr>
          <w:t>Lei nº 14.133, de 2021</w:t>
        </w:r>
      </w:hyperlink>
      <w:r>
        <w:rPr/>
        <w:t xml:space="preserve">, ou em outras leis de licitações e contratos da Administração Pública que também sejam tipificados como atos lesivos </w:t>
      </w:r>
      <w:hyperlink r:id="rId8">
        <w:r>
          <w:rPr>
            <w:rStyle w:val="LinkdaInternet"/>
          </w:rPr>
          <w:t>na Lei nº 12.846, de 2013</w:t>
        </w:r>
      </w:hyperlink>
      <w:r>
        <w:rPr/>
        <w:t xml:space="preserve">, serão apurados e julgados conjuntamente, nos mesmos autos, observados o rito procedimental e autoridade competente definidos na referida </w:t>
      </w:r>
      <w:r>
        <w:fldChar w:fldCharType="begin"/>
      </w:r>
      <w:r>
        <w:rPr>
          <w:rStyle w:val="LinkdaInternet"/>
        </w:rPr>
        <w:instrText> HYPERLINK "http://www.planalto.gov.br/ccivil_03/_ato2019-2022/2021/lei/L14133.htm" \l "art159"</w:instrText>
      </w:r>
      <w:r>
        <w:rPr>
          <w:rStyle w:val="LinkdaInternet"/>
        </w:rPr>
        <w:fldChar w:fldCharType="separate"/>
      </w:r>
      <w:r>
        <w:rPr>
          <w:rStyle w:val="LinkdaInternet"/>
        </w:rPr>
        <w:t>Lei (art. 159</w:t>
      </w:r>
      <w:r>
        <w:rPr>
          <w:rStyle w:val="LinkdaInternet"/>
        </w:rPr>
        <w:fldChar w:fldCharType="end"/>
      </w:r>
      <w:r>
        <w:rPr/>
        <w:t>).</w:t>
      </w:r>
    </w:p>
    <w:p>
      <w:pPr>
        <w:pStyle w:val="Nivel2"/>
        <w:numPr>
          <w:ilvl w:val="1"/>
          <w:numId w:val="1"/>
        </w:numPr>
        <w:ind w:left="0" w:hanging="0"/>
        <w:rPr/>
      </w:pPr>
      <w:r>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rPr>
          <w:rStyle w:val="LinkdaInternet"/>
        </w:rPr>
        <w:instrText> HYPERLINK "http://www.planalto.gov.br/ccivil_03/_ato2019-2022/2021/lei/L14133.htm" \l "art160"</w:instrText>
      </w:r>
      <w:r>
        <w:rPr>
          <w:rStyle w:val="LinkdaInternet"/>
        </w:rPr>
        <w:fldChar w:fldCharType="separate"/>
      </w:r>
      <w:r>
        <w:rPr>
          <w:rStyle w:val="LinkdaInternet"/>
        </w:rPr>
        <w:t>art. 160, da Lei nº 14.133, de 2021</w:t>
      </w:r>
      <w:r>
        <w:rPr>
          <w:rStyle w:val="LinkdaInternet"/>
        </w:rPr>
        <w:fldChar w:fldCharType="end"/>
      </w:r>
      <w:r>
        <w:rPr/>
        <w:t>)</w:t>
      </w:r>
    </w:p>
    <w:p>
      <w:pPr>
        <w:pStyle w:val="Nivel2"/>
        <w:numPr>
          <w:ilvl w:val="1"/>
          <w:numId w:val="1"/>
        </w:numPr>
        <w:ind w:left="0" w:hanging="0"/>
        <w:rPr/>
      </w:pPr>
      <w:r>
        <w:rPr/>
        <w:t xml:space="preserve"> </w:t>
      </w:r>
      <w:r>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rPr>
          <w:rStyle w:val="LinkdaInternet"/>
        </w:rPr>
        <w:instrText> HYPERLINK "http://www.planalto.gov.br/ccivil_03/_ato2019-2022/2021/lei/L14133.htm" \l "art161"</w:instrText>
      </w:r>
      <w:r>
        <w:rPr>
          <w:rStyle w:val="LinkdaInternet"/>
        </w:rPr>
        <w:fldChar w:fldCharType="separate"/>
      </w:r>
      <w:r>
        <w:rPr>
          <w:rStyle w:val="LinkdaInternet"/>
        </w:rPr>
        <w:t>Art. 161, da Lei nº 14.133, de 2021</w:t>
      </w:r>
      <w:r>
        <w:rPr>
          <w:rStyle w:val="LinkdaInternet"/>
        </w:rPr>
        <w:fldChar w:fldCharType="end"/>
      </w:r>
      <w:r>
        <w:rPr/>
        <w:t>)</w:t>
      </w:r>
    </w:p>
    <w:p>
      <w:pPr>
        <w:pStyle w:val="Nivel2"/>
        <w:numPr>
          <w:ilvl w:val="1"/>
          <w:numId w:val="1"/>
        </w:numPr>
        <w:ind w:left="0" w:hanging="0"/>
        <w:rPr/>
      </w:pPr>
      <w:r>
        <w:rPr/>
        <w:t xml:space="preserve">As sanções de impedimento de licitar e contratar e declaração de inidoneidade para licitar ou contratar são passíveis de reabilitação na forma do </w:t>
      </w:r>
      <w:r>
        <w:fldChar w:fldCharType="begin"/>
      </w:r>
      <w:r>
        <w:rPr>
          <w:rStyle w:val="LinkdaInternet"/>
        </w:rPr>
        <w:instrText> HYPERLINK "http://www.planalto.gov.br/ccivil_03/_ato2019-2022/2021/lei/L14133.htm" \l "art163"</w:instrText>
      </w:r>
      <w:r>
        <w:rPr>
          <w:rStyle w:val="LinkdaInternet"/>
        </w:rPr>
        <w:fldChar w:fldCharType="separate"/>
      </w:r>
      <w:r>
        <w:rPr>
          <w:rStyle w:val="LinkdaInternet"/>
        </w:rPr>
        <w:t>art. 163 da Lei nº 14.133/21.</w:t>
      </w:r>
      <w:r>
        <w:rPr>
          <w:rStyle w:val="LinkdaInternet"/>
        </w:rPr>
        <w:fldChar w:fldCharType="end"/>
      </w:r>
    </w:p>
    <w:p>
      <w:pPr>
        <w:pStyle w:val="Nivel2"/>
        <w:numPr>
          <w:ilvl w:val="1"/>
          <w:numId w:val="1"/>
        </w:numPr>
        <w:ind w:left="0" w:hanging="0"/>
        <w:rPr/>
      </w:pPr>
      <w:r>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9">
        <w:r>
          <w:rPr>
            <w:rStyle w:val="LinkdaInternet"/>
          </w:rPr>
          <w:t>Instrução Normativa SEGES/ME nº 26, de 13 de abril de 2022</w:t>
        </w:r>
      </w:hyperlink>
      <w:r>
        <w:rPr/>
        <w:t xml:space="preserve">. </w:t>
      </w:r>
    </w:p>
    <w:p>
      <w:pPr>
        <w:pStyle w:val="Nivel01"/>
        <w:numPr>
          <w:ilvl w:val="0"/>
          <w:numId w:val="1"/>
        </w:numPr>
        <w:ind w:left="0" w:hanging="0"/>
        <w:rPr/>
      </w:pPr>
      <w:r>
        <w:rPr/>
        <w:t>CLÁUSULA DÉCIMA TERCEIRA – DA EXTINÇÃO CONTRATUAL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XIX</w:t>
      </w:r>
      <w:r>
        <w:rPr>
          <w:rStyle w:val="LinkdaInternet"/>
        </w:rPr>
        <w:fldChar w:fldCharType="end"/>
      </w:r>
      <w:r>
        <w:rPr/>
        <w:t xml:space="preserve">) </w:t>
      </w:r>
    </w:p>
    <w:p>
      <w:pPr>
        <w:pStyle w:val="Nivel2"/>
        <w:numPr>
          <w:ilvl w:val="1"/>
          <w:numId w:val="1"/>
        </w:numPr>
        <w:ind w:left="0" w:hanging="0"/>
        <w:rPr/>
      </w:pPr>
      <w:r>
        <w:rPr/>
        <w:t>O contrato será extinto quando vencido o prazo nele estipulado, independentemente de terem sido cumpridas ou não as obrigações de ambas as partes contraentes.</w:t>
      </w:r>
    </w:p>
    <w:p>
      <w:pPr>
        <w:pStyle w:val="Nivel2"/>
        <w:numPr>
          <w:ilvl w:val="1"/>
          <w:numId w:val="1"/>
        </w:numPr>
        <w:ind w:left="0" w:hanging="0"/>
        <w:rPr/>
      </w:pPr>
      <w:r>
        <w:rPr/>
        <w:t>O contrato poderá ser extinto antes do prazo nele fixado, sem ônus para o contratante, quando este não dispuser de créditos orçamentários para sua continuidade ou quando entender que o contrato não mais lhe oferece vantagem.</w:t>
      </w:r>
    </w:p>
    <w:p>
      <w:pPr>
        <w:pStyle w:val="Nivel3"/>
        <w:numPr>
          <w:ilvl w:val="2"/>
          <w:numId w:val="1"/>
        </w:numPr>
        <w:ind w:left="284" w:hanging="0"/>
        <w:rPr/>
      </w:pPr>
      <w:r>
        <w:rPr/>
        <w:t>A extinção nesta hipótese ocorrerá na próxima data de aniversário do contrato, desde que haja a notificação do contratado pelo contratante nesse sentido com pelo menos 2 (dois) meses de antecedência desse dia.</w:t>
      </w:r>
    </w:p>
    <w:p>
      <w:pPr>
        <w:pStyle w:val="Nivel3"/>
        <w:numPr>
          <w:ilvl w:val="2"/>
          <w:numId w:val="1"/>
        </w:numPr>
        <w:ind w:left="284" w:hanging="0"/>
        <w:rPr/>
      </w:pPr>
      <w:commentRangeStart w:id="23"/>
      <w:r>
        <w:rPr/>
        <w:t>Caso a notificação da não-continuidade do contrato de que trata este subitem ocorra com menos de 2 (dois) meses da data de aniversário, a extinção contratual ocorrerá após 2 (dois) meses da data da comunicação.</w:t>
      </w:r>
      <w:commentRangeEnd w:id="23"/>
      <w:r>
        <w:commentReference w:id="23"/>
      </w:r>
      <w:r>
        <w:rPr/>
      </w:r>
    </w:p>
    <w:p>
      <w:pPr>
        <w:pStyle w:val="Nivel2"/>
        <w:numPr>
          <w:ilvl w:val="1"/>
          <w:numId w:val="1"/>
        </w:numPr>
        <w:ind w:left="0" w:hanging="0"/>
        <w:rPr/>
      </w:pPr>
      <w:r>
        <w:rPr/>
        <w:t xml:space="preserve">O contrato poderá ser extinto antes de cumpridas as obrigações nele estipuladas, ou antes do prazo nele fixado, por algum dos motivos previstos no </w:t>
      </w:r>
      <w:r>
        <w:fldChar w:fldCharType="begin"/>
      </w:r>
      <w:r>
        <w:rPr>
          <w:rStyle w:val="LinkdaInternet"/>
        </w:rPr>
        <w:instrText> HYPERLINK "http://www.planalto.gov.br/ccivil_03/_ato2019-2022/2021/lei/L14133.htm" \l "art137"</w:instrText>
      </w:r>
      <w:r>
        <w:rPr>
          <w:rStyle w:val="LinkdaInternet"/>
        </w:rPr>
        <w:fldChar w:fldCharType="separate"/>
      </w:r>
      <w:r>
        <w:rPr>
          <w:rStyle w:val="LinkdaInternet"/>
        </w:rPr>
        <w:t>artigo 137 da Lei nº 14.133/21</w:t>
      </w:r>
      <w:r>
        <w:rPr>
          <w:rStyle w:val="LinkdaInternet"/>
        </w:rPr>
        <w:fldChar w:fldCharType="end"/>
      </w:r>
      <w:r>
        <w:rPr/>
        <w:t xml:space="preserve">, bem como amigavelmente, </w:t>
      </w:r>
      <w:r>
        <w:rPr>
          <w:color w:val="000000" w:themeColor="text1"/>
        </w:rPr>
        <w:t>assegurados o contraditório e a ampla defesa</w:t>
      </w:r>
      <w:r>
        <w:rPr/>
        <w:t>.</w:t>
      </w:r>
    </w:p>
    <w:p>
      <w:pPr>
        <w:pStyle w:val="Nivel4"/>
        <w:numPr>
          <w:ilvl w:val="3"/>
          <w:numId w:val="1"/>
        </w:numPr>
        <w:ind w:left="567" w:hanging="0"/>
        <w:rPr/>
      </w:pPr>
      <w:r>
        <w:rPr/>
        <w:t xml:space="preserve">Nesta hipótese, aplicam-se também os </w:t>
      </w:r>
      <w:r>
        <w:fldChar w:fldCharType="begin"/>
      </w:r>
      <w:r>
        <w:rPr>
          <w:rStyle w:val="LinkdaInternet"/>
        </w:rPr>
        <w:instrText> HYPERLINK "http://www.planalto.gov.br/ccivil_03/_ato2019-2022/2021/lei/L14133.htm" \l "art138"</w:instrText>
      </w:r>
      <w:r>
        <w:rPr>
          <w:rStyle w:val="LinkdaInternet"/>
        </w:rPr>
        <w:fldChar w:fldCharType="separate"/>
      </w:r>
      <w:r>
        <w:rPr>
          <w:rStyle w:val="LinkdaInternet"/>
        </w:rPr>
        <w:t>artigos 138 e 139</w:t>
      </w:r>
      <w:r>
        <w:rPr>
          <w:rStyle w:val="LinkdaInternet"/>
        </w:rPr>
        <w:fldChar w:fldCharType="end"/>
      </w:r>
      <w:r>
        <w:rPr/>
        <w:t xml:space="preserve"> da mesma Lei.</w:t>
      </w:r>
    </w:p>
    <w:p>
      <w:pPr>
        <w:pStyle w:val="Nivel4"/>
        <w:numPr>
          <w:ilvl w:val="3"/>
          <w:numId w:val="1"/>
        </w:numPr>
        <w:ind w:left="567" w:hanging="0"/>
        <w:rPr/>
      </w:pPr>
      <w:r>
        <w:rPr/>
        <w:t xml:space="preserve">A </w:t>
      </w:r>
      <w:r>
        <w:rPr>
          <w:color w:val="000000" w:themeColor="text1"/>
        </w:rPr>
        <w:t>alteração social ou a modificação da finalidade ou da estrutura da empresa</w:t>
      </w:r>
      <w:r>
        <w:rPr/>
        <w:t xml:space="preserve"> não ensejará a extinção se não </w:t>
      </w:r>
      <w:r>
        <w:rPr>
          <w:color w:val="000000" w:themeColor="text1"/>
        </w:rPr>
        <w:t>restringir sua capacidade de concluir o contrato.</w:t>
      </w:r>
    </w:p>
    <w:p>
      <w:pPr>
        <w:pStyle w:val="Nivel4"/>
        <w:numPr>
          <w:ilvl w:val="3"/>
          <w:numId w:val="1"/>
        </w:numPr>
        <w:ind w:left="567" w:hanging="0"/>
        <w:rPr/>
      </w:pPr>
      <w:r>
        <w:rPr>
          <w:color w:val="000000" w:themeColor="text1"/>
        </w:rPr>
        <w:t xml:space="preserve">Se a operação </w:t>
      </w:r>
      <w:r>
        <w:rPr/>
        <w:t>implicar mudança da pessoa jurídica contratada, deverá ser formalizado termo aditivo para alteração subjetiva.</w:t>
      </w:r>
    </w:p>
    <w:p>
      <w:pPr>
        <w:pStyle w:val="Nivel2"/>
        <w:numPr>
          <w:ilvl w:val="1"/>
          <w:numId w:val="1"/>
        </w:numPr>
        <w:ind w:left="0" w:hanging="0"/>
        <w:rPr/>
      </w:pPr>
      <w:r>
        <w:rPr/>
        <w:t>O termo de extinção, sempre que possível, será precedido:</w:t>
      </w:r>
    </w:p>
    <w:p>
      <w:pPr>
        <w:pStyle w:val="Nivel3"/>
        <w:numPr>
          <w:ilvl w:val="2"/>
          <w:numId w:val="1"/>
        </w:numPr>
        <w:ind w:left="284" w:hanging="0"/>
        <w:rPr/>
      </w:pPr>
      <w:r>
        <w:rPr/>
        <w:t>Balanço dos eventos contratuais já cumpridos ou parcialmente cumpridos;</w:t>
      </w:r>
    </w:p>
    <w:p>
      <w:pPr>
        <w:pStyle w:val="Nivel3"/>
        <w:numPr>
          <w:ilvl w:val="2"/>
          <w:numId w:val="1"/>
        </w:numPr>
        <w:ind w:left="284" w:hanging="0"/>
        <w:rPr/>
      </w:pPr>
      <w:r>
        <w:rPr/>
        <w:t>Relação dos pagamentos já efetuados e ainda devidos;</w:t>
      </w:r>
    </w:p>
    <w:p>
      <w:pPr>
        <w:pStyle w:val="Nivel3"/>
        <w:numPr>
          <w:ilvl w:val="2"/>
          <w:numId w:val="1"/>
        </w:numPr>
        <w:ind w:left="284" w:hanging="0"/>
        <w:rPr/>
      </w:pPr>
      <w:r>
        <w:rPr/>
        <w:t>Indenizações e multas.</w:t>
      </w:r>
    </w:p>
    <w:p>
      <w:pPr>
        <w:pStyle w:val="Nivel2"/>
        <w:numPr>
          <w:ilvl w:val="1"/>
          <w:numId w:val="1"/>
        </w:numPr>
        <w:ind w:left="0" w:hanging="0"/>
        <w:rPr/>
      </w:pPr>
      <w:r>
        <w:rPr/>
        <w:t>A extinção do contrato não configura óbice para o reconhecimento do desequilíbrio econômico-financeiro, hipótese em que será concedida indenização por meio de termo indenizatório (</w:t>
      </w:r>
      <w:r>
        <w:fldChar w:fldCharType="begin"/>
      </w:r>
      <w:r>
        <w:rPr>
          <w:rStyle w:val="LinkdaInternet"/>
        </w:rPr>
        <w:instrText> HYPERLINK "http://www.planalto.gov.br/ccivil_03/_ato2019-2022/2021/lei/L14133.htm" \l "art131"</w:instrText>
      </w:r>
      <w:r>
        <w:rPr>
          <w:rStyle w:val="LinkdaInternet"/>
        </w:rPr>
        <w:fldChar w:fldCharType="separate"/>
      </w:r>
      <w:r>
        <w:rPr>
          <w:rStyle w:val="LinkdaInternet"/>
        </w:rPr>
        <w:t xml:space="preserve">art. 131, </w:t>
      </w:r>
      <w:r>
        <w:rPr>
          <w:rStyle w:val="LinkdaInternet"/>
        </w:rPr>
        <w:fldChar w:fldCharType="end"/>
      </w:r>
      <w:r>
        <w:rPr>
          <w:rStyle w:val="LinkdaInternet"/>
          <w:i/>
          <w:iCs/>
        </w:rPr>
        <w:t xml:space="preserve">caput, </w:t>
      </w:r>
      <w:r>
        <w:rPr>
          <w:rStyle w:val="LinkdaInternet"/>
        </w:rPr>
        <w:t>da Lei n.º 14.133, de 2021).</w:t>
      </w:r>
      <w:r>
        <w:rPr/>
        <w:t xml:space="preserve"> </w:t>
      </w:r>
    </w:p>
    <w:p>
      <w:pPr>
        <w:pStyle w:val="Nivel2"/>
        <w:numPr>
          <w:ilvl w:val="1"/>
          <w:numId w:val="1"/>
        </w:numPr>
        <w:ind w:left="0" w:hanging="0"/>
        <w:rPr/>
      </w:pPr>
      <w:r>
        <w:rPr/>
        <w:t xml:space="preserve">O não pagamento dos salários e das verbas trabalhistas, e o não recolhimento das contribuições sociais, previdenciárias e para com o FGTS poderá dar ensejo à extinção do contrato por ato unilateral e escrito do contratante e à aplicação das penalidades </w:t>
      </w:r>
      <w:commentRangeStart w:id="24"/>
      <w:r>
        <w:rPr/>
        <w:t>cabíveis</w:t>
      </w:r>
      <w:r>
        <w:rPr/>
      </w:r>
      <w:commentRangeEnd w:id="24"/>
      <w:r>
        <w:commentReference w:id="24"/>
      </w:r>
      <w:r>
        <w:rPr/>
        <w:t xml:space="preserve">. </w:t>
      </w:r>
    </w:p>
    <w:p>
      <w:pPr>
        <w:pStyle w:val="Nivel2"/>
        <w:numPr>
          <w:ilvl w:val="1"/>
          <w:numId w:val="1"/>
        </w:numPr>
        <w:ind w:left="0" w:hanging="0"/>
        <w:rPr/>
      </w:pPr>
      <w:r>
        <w:rPr/>
        <w:t>O contratante poderá conceder prazo para que o contratado regularize suas obrigações trabalhistas ou suas condições de habilitação, sob pena de extinção contratual, quando não identificar má-fé ou a incapacidade de correção.</w:t>
      </w:r>
    </w:p>
    <w:p>
      <w:pPr>
        <w:pStyle w:val="Nivel2"/>
        <w:numPr>
          <w:ilvl w:val="1"/>
          <w:numId w:val="1"/>
        </w:numPr>
        <w:ind w:left="0" w:hanging="0"/>
        <w:rPr/>
      </w:pPr>
      <w:r>
        <w:rPr/>
        <w:t xml:space="preserve">Quando da extinção, o fiscal administrativo deverá verificar o pagamento pelo contratado das verbas rescisórias ou os documentos que comprovem que os empregados serão realocados em outra atividade de prestação de serviços, sem que ocorra a interrupção do contrato de trabalho. </w:t>
      </w:r>
    </w:p>
    <w:p>
      <w:pPr>
        <w:pStyle w:val="Nivel2"/>
        <w:numPr>
          <w:ilvl w:val="1"/>
          <w:numId w:val="1"/>
        </w:numPr>
        <w:ind w:left="0" w:hanging="0"/>
        <w:rPr/>
      </w:pPr>
      <w:r>
        <w:rPr/>
        <w:t>Até que o contratado comprove o disposto no item anterior, o contratante reterá:</w:t>
      </w:r>
    </w:p>
    <w:p>
      <w:pPr>
        <w:pStyle w:val="Nivel3"/>
        <w:numPr>
          <w:ilvl w:val="2"/>
          <w:numId w:val="1"/>
        </w:numPr>
        <w:ind w:left="284" w:hanging="0"/>
        <w:rPr/>
      </w:pPr>
      <w:r>
        <w:rPr/>
        <w:t>a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(art. 121, § 3º, I, e art. 139, III, b, da Lei n.º 14.133/2021); e </w:t>
      </w:r>
    </w:p>
    <w:p>
      <w:pPr>
        <w:pStyle w:val="Nivel3"/>
        <w:numPr>
          <w:ilvl w:val="2"/>
          <w:numId w:val="1"/>
        </w:numPr>
        <w:ind w:left="284" w:hanging="0"/>
        <w:rPr/>
      </w:pPr>
      <w:r>
        <w:rPr/>
        <w:t>os valores das Notas fiscais ou Faturas correspondentes em valor proporcional ao inadimplemento, até que a situação seja regularizada.</w:t>
      </w:r>
    </w:p>
    <w:p>
      <w:pPr>
        <w:pStyle w:val="Nivel2"/>
        <w:numPr>
          <w:ilvl w:val="1"/>
          <w:numId w:val="1"/>
        </w:numPr>
        <w:ind w:left="0" w:hanging="0"/>
        <w:rPr/>
      </w:pPr>
      <w:r>
        <w:rPr/>
        <w:t>Na hipótese do subitem anterior, não havendo quitação das obrigações por parte do contratado no prazo de 15 (quinze) dias, o contratante poderá efetuar o pagamento das obrigações diretamente aos empregados que tenham participado da execução dos serviços objeto do contrato, deduzindo o respectivo valor do pagamento devido ao contratado (art. 121, §3º, inciso II, da Lei nº 14.133/2021).</w:t>
      </w:r>
    </w:p>
    <w:p>
      <w:pPr>
        <w:pStyle w:val="Nivel2"/>
        <w:numPr>
          <w:ilvl w:val="1"/>
          <w:numId w:val="1"/>
        </w:numPr>
        <w:ind w:left="0" w:hanging="0"/>
        <w:rPr/>
      </w:pPr>
      <w:r>
        <w:rPr/>
        <w:t>O contratante poderá ainda:</w:t>
      </w:r>
    </w:p>
    <w:p>
      <w:pPr>
        <w:pStyle w:val="Nivel3"/>
        <w:numPr>
          <w:ilvl w:val="2"/>
          <w:numId w:val="1"/>
        </w:numPr>
        <w:ind w:left="284" w:hanging="0"/>
        <w:rPr/>
      </w:pPr>
      <w:r>
        <w:rPr/>
        <w:t xml:space="preserve"> </w:t>
      </w:r>
      <w:r>
        <w:rPr/>
        <w:t>nos casos de obrigação de pagamento de multa pelo contratado, reter a garantia prestada a ser executada (art. 139, III, “c”, da Lei n.º 14.133/2021), conforme legislação que rege a matéria; e</w:t>
      </w:r>
    </w:p>
    <w:p>
      <w:pPr>
        <w:pStyle w:val="Nivel3"/>
        <w:numPr>
          <w:ilvl w:val="2"/>
          <w:numId w:val="1"/>
        </w:numPr>
        <w:ind w:left="284" w:hanging="0"/>
        <w:rPr/>
      </w:pPr>
      <w:r>
        <w:rPr/>
        <w:t>nos casos em que houver necessidade de ressarcimento de prejuízos causados à Administração, nos termos do inciso IV do art. 139 da Lei n.º 14.133, de 2021, reter os eventuais créditos existentes em favor do contratado decorrentes do contrato.</w:t>
      </w:r>
    </w:p>
    <w:p>
      <w:pPr>
        <w:pStyle w:val="Nivel2"/>
        <w:numPr>
          <w:ilvl w:val="1"/>
          <w:numId w:val="1"/>
        </w:numPr>
        <w:ind w:left="0" w:hanging="0"/>
        <w:rPr/>
      </w:pPr>
      <w:r>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pPr>
        <w:pStyle w:val="Nivel01"/>
        <w:numPr>
          <w:ilvl w:val="0"/>
          <w:numId w:val="1"/>
        </w:numPr>
        <w:ind w:left="0" w:hanging="0"/>
        <w:rPr>
          <w:color w:val="FFFFFF" w:themeColor="background1"/>
        </w:rPr>
      </w:pPr>
      <w:r>
        <w:rPr/>
        <w:t>CLÁUSULA DÉCIMA QUARTA – ALTERAÇÕES</w:t>
      </w:r>
    </w:p>
    <w:p>
      <w:pPr>
        <w:pStyle w:val="Nivel2"/>
        <w:numPr>
          <w:ilvl w:val="1"/>
          <w:numId w:val="1"/>
        </w:numPr>
        <w:ind w:left="0" w:hanging="0"/>
        <w:rPr/>
      </w:pPr>
      <w:r>
        <w:rPr/>
        <w:t xml:space="preserve">Eventuais alterações contratuais reger-se-ão pela disciplina dos </w:t>
      </w:r>
      <w:r>
        <w:fldChar w:fldCharType="begin"/>
      </w:r>
      <w:r>
        <w:rPr>
          <w:rStyle w:val="LinkdaInternet"/>
        </w:rPr>
        <w:instrText> HYPERLINK "http://www.planalto.gov.br/ccivil_03/_ato2019-2022/2021/lei/L14133.htm" \l "art124"</w:instrText>
      </w:r>
      <w:r>
        <w:rPr>
          <w:rStyle w:val="LinkdaInternet"/>
        </w:rPr>
        <w:fldChar w:fldCharType="separate"/>
      </w:r>
      <w:r>
        <w:rPr>
          <w:rStyle w:val="LinkdaInternet"/>
        </w:rPr>
        <w:t>arts. 124 e seguintes da Lei nº 14.133, de 2021</w:t>
      </w:r>
      <w:r>
        <w:rPr>
          <w:rStyle w:val="LinkdaInternet"/>
        </w:rPr>
        <w:fldChar w:fldCharType="end"/>
      </w:r>
      <w:r>
        <w:rPr/>
        <w:t>.</w:t>
      </w:r>
    </w:p>
    <w:p>
      <w:pPr>
        <w:pStyle w:val="Nivel2"/>
        <w:numPr>
          <w:ilvl w:val="1"/>
          <w:numId w:val="1"/>
        </w:numPr>
        <w:ind w:left="0" w:hanging="0"/>
        <w:rPr/>
      </w:pPr>
      <w:r>
        <w:rPr/>
        <w:t>O contratado é obrigado a aceitar, nas mesmas condições contratuais, os acréscimos ou supressões que se fizerem necessários, até o limite de 25% (vinte e cinco por cento) do valor inicial atualizado do contrato.</w:t>
      </w:r>
    </w:p>
    <w:p>
      <w:pPr>
        <w:pStyle w:val="Nivel2"/>
        <w:numPr>
          <w:ilvl w:val="1"/>
          <w:numId w:val="1"/>
        </w:numPr>
        <w:ind w:left="0" w:hanging="0"/>
        <w:rPr/>
      </w:pPr>
      <w:r>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pPr>
        <w:pStyle w:val="Nivel2"/>
        <w:numPr>
          <w:ilvl w:val="1"/>
          <w:numId w:val="1"/>
        </w:numPr>
        <w:ind w:left="0" w:hanging="0"/>
        <w:rPr/>
      </w:pPr>
      <w:r>
        <w:rPr/>
        <w:t xml:space="preserve">Registros que não caracterizam alteração do contrato podem ser realizados por simples apostila, dispensada a celebração de termo aditivo, na forma do </w:t>
      </w:r>
      <w:r>
        <w:fldChar w:fldCharType="begin"/>
      </w:r>
      <w:r>
        <w:rPr>
          <w:rStyle w:val="LinkdaInternet"/>
        </w:rPr>
        <w:instrText> HYPERLINK "http://www.planalto.gov.br/ccivil_03/_ato2019-2022/2021/lei/L14133.htm" \l "art136"</w:instrText>
      </w:r>
      <w:r>
        <w:rPr>
          <w:rStyle w:val="LinkdaInternet"/>
        </w:rPr>
        <w:fldChar w:fldCharType="separate"/>
      </w:r>
      <w:r>
        <w:rPr>
          <w:rStyle w:val="LinkdaInternet"/>
        </w:rPr>
        <w:t>art. 136 da Lei nº 14.133, de 2021</w:t>
      </w:r>
      <w:r>
        <w:rPr>
          <w:rStyle w:val="LinkdaInternet"/>
        </w:rPr>
        <w:fldChar w:fldCharType="end"/>
      </w:r>
      <w:r>
        <w:rPr/>
        <w:t>.</w:t>
      </w:r>
    </w:p>
    <w:p>
      <w:pPr>
        <w:pStyle w:val="Nivel01"/>
        <w:numPr>
          <w:ilvl w:val="0"/>
          <w:numId w:val="1"/>
        </w:numPr>
        <w:ind w:left="0" w:hanging="0"/>
        <w:rPr/>
      </w:pPr>
      <w:r>
        <w:rPr/>
        <w:t>CLÁUSULA DÉCIMA QUINTA – DOTAÇÃO ORÇAMENTÁRIA (</w:t>
      </w:r>
      <w:r>
        <w:fldChar w:fldCharType="begin"/>
      </w:r>
      <w:r>
        <w:rPr>
          <w:rStyle w:val="ListLabel296"/>
        </w:rPr>
        <w:instrText> HYPERLINK "http://www.planalto.gov.br/ccivil_03/_ato2019-2022/2021/lei/L14133.htm" \l "art92"</w:instrText>
      </w:r>
      <w:r>
        <w:rPr>
          <w:rStyle w:val="ListLabel296"/>
        </w:rPr>
        <w:fldChar w:fldCharType="separate"/>
      </w:r>
      <w:r>
        <w:rPr>
          <w:rStyle w:val="ListLabel296"/>
        </w:rPr>
        <w:t>art. 92, VIII</w:t>
      </w:r>
      <w:r>
        <w:rPr>
          <w:rStyle w:val="ListLabel296"/>
        </w:rPr>
        <w:fldChar w:fldCharType="end"/>
      </w:r>
      <w:r>
        <w:rPr/>
        <w:t>)</w:t>
      </w:r>
    </w:p>
    <w:p>
      <w:pPr>
        <w:pStyle w:val="Nivel2"/>
        <w:numPr>
          <w:ilvl w:val="1"/>
          <w:numId w:val="1"/>
        </w:numPr>
        <w:ind w:left="0" w:hanging="0"/>
        <w:rPr/>
      </w:pPr>
      <w:r>
        <w:rPr/>
        <w:t>As despesas decorrentes da presente contratação correrão à conta de recursos específicos consignados no Orçamento Geral da União deste exercício, na dotação abaixo discriminada:</w:t>
      </w:r>
    </w:p>
    <w:p>
      <w:pPr>
        <w:pStyle w:val="Nivel3"/>
        <w:numPr>
          <w:ilvl w:val="2"/>
          <w:numId w:val="1"/>
        </w:numPr>
        <w:ind w:left="284" w:hanging="0"/>
        <w:rPr/>
      </w:pPr>
      <w:r>
        <w:rPr/>
        <w:t xml:space="preserve">Gestão/Unidade: </w:t>
      </w:r>
    </w:p>
    <w:p>
      <w:pPr>
        <w:pStyle w:val="Nivel3"/>
        <w:numPr>
          <w:ilvl w:val="2"/>
          <w:numId w:val="1"/>
        </w:numPr>
        <w:ind w:left="284" w:hanging="0"/>
        <w:rPr/>
      </w:pPr>
      <w:r>
        <w:rPr/>
        <w:t xml:space="preserve">Fonte de Recursos:  </w:t>
      </w:r>
    </w:p>
    <w:p>
      <w:pPr>
        <w:pStyle w:val="Nivel3"/>
        <w:numPr>
          <w:ilvl w:val="2"/>
          <w:numId w:val="1"/>
        </w:numPr>
        <w:ind w:left="284" w:hanging="0"/>
        <w:rPr/>
      </w:pPr>
      <w:r>
        <w:rPr/>
        <w:t xml:space="preserve">Programa de Trabalho: </w:t>
      </w:r>
    </w:p>
    <w:p>
      <w:pPr>
        <w:pStyle w:val="Nivel3"/>
        <w:numPr>
          <w:ilvl w:val="2"/>
          <w:numId w:val="1"/>
        </w:numPr>
        <w:ind w:left="284" w:hanging="0"/>
        <w:rPr/>
      </w:pPr>
      <w:r>
        <w:rPr/>
        <w:t xml:space="preserve">Elemento de Despesa: </w:t>
      </w:r>
    </w:p>
    <w:p>
      <w:pPr>
        <w:pStyle w:val="Nivel3"/>
        <w:numPr>
          <w:ilvl w:val="2"/>
          <w:numId w:val="1"/>
        </w:numPr>
        <w:ind w:left="284" w:hanging="0"/>
        <w:rPr/>
      </w:pPr>
      <w:r>
        <w:rPr/>
        <w:t xml:space="preserve">Plano Interno: </w:t>
      </w:r>
    </w:p>
    <w:p>
      <w:pPr>
        <w:pStyle w:val="Nivel3"/>
        <w:numPr>
          <w:ilvl w:val="2"/>
          <w:numId w:val="1"/>
        </w:numPr>
        <w:ind w:left="284" w:hanging="0"/>
        <w:rPr/>
      </w:pPr>
      <w:r>
        <w:rPr/>
        <w:t>Nota de Empenho:</w:t>
      </w:r>
    </w:p>
    <w:p>
      <w:pPr>
        <w:pStyle w:val="Nivel2"/>
        <w:numPr>
          <w:ilvl w:val="1"/>
          <w:numId w:val="1"/>
        </w:numPr>
        <w:ind w:left="0" w:hanging="0"/>
        <w:rPr>
          <w:i/>
          <w:i/>
        </w:rPr>
      </w:pPr>
      <w:commentRangeStart w:id="25"/>
      <w:r>
        <w:rPr/>
        <w:t>A dotação relativa aos exercícios financeiros subsequentes será indicada após aprovação da Lei Orçamentária respectiva e liberação dos créditos correspondentes, mediante apostilamento.</w:t>
      </w:r>
      <w:commentRangeEnd w:id="25"/>
      <w:r>
        <w:commentReference w:id="25"/>
      </w:r>
      <w:r>
        <w:rPr/>
      </w:r>
    </w:p>
    <w:p>
      <w:pPr>
        <w:pStyle w:val="Nivel01"/>
        <w:numPr>
          <w:ilvl w:val="0"/>
          <w:numId w:val="1"/>
        </w:numPr>
        <w:ind w:left="0" w:hanging="0"/>
        <w:rPr/>
      </w:pPr>
      <w:r>
        <w:rPr/>
        <w:t>CLÁUSULA DÉCIMA SEXTA – DOS CASOS OMISSOS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III</w:t>
      </w:r>
      <w:r>
        <w:rPr>
          <w:rStyle w:val="LinkdaInternet"/>
        </w:rPr>
        <w:fldChar w:fldCharType="end"/>
      </w:r>
      <w:r>
        <w:rPr/>
        <w:t>)</w:t>
      </w:r>
    </w:p>
    <w:p>
      <w:pPr>
        <w:pStyle w:val="Nivel2"/>
        <w:numPr>
          <w:ilvl w:val="1"/>
          <w:numId w:val="1"/>
        </w:numPr>
        <w:ind w:left="0" w:hanging="0"/>
        <w:rPr/>
      </w:pPr>
      <w:commentRangeStart w:id="26"/>
      <w:r>
        <w:rPr/>
        <w:t xml:space="preserve">Os casos omissos serão decididos pelo contratante, segundo as disposições contidas na </w:t>
      </w:r>
      <w:hyperlink r:id="rId10">
        <w:r>
          <w:rPr>
            <w:rStyle w:val="LinkdaInternet"/>
          </w:rPr>
          <w:t>Lei nº 14.133, de 2021</w:t>
        </w:r>
      </w:hyperlink>
      <w:r>
        <w:rPr/>
        <w:t xml:space="preserve">, e demais normas federais aplicáveis e, subsidiariamente, segundo as disposições contidas na </w:t>
      </w:r>
      <w:hyperlink r:id="rId11">
        <w:r>
          <w:rPr>
            <w:rStyle w:val="LinkdaInternet"/>
          </w:rPr>
          <w:t>Lei nº 8.078, de 1990 – Código de Defesa do Consumidor</w:t>
        </w:r>
      </w:hyperlink>
      <w:r>
        <w:rPr/>
        <w:t xml:space="preserve"> – e normas e princípios gerais dos contratos.</w:t>
      </w:r>
      <w:commentRangeEnd w:id="26"/>
      <w:r>
        <w:commentReference w:id="26"/>
      </w:r>
      <w:r>
        <w:rPr/>
      </w:r>
    </w:p>
    <w:p>
      <w:pPr>
        <w:pStyle w:val="Nivel01"/>
        <w:numPr>
          <w:ilvl w:val="0"/>
          <w:numId w:val="1"/>
        </w:numPr>
        <w:ind w:left="0" w:hanging="0"/>
        <w:rPr>
          <w:color w:val="FFFFFF" w:themeColor="background1"/>
        </w:rPr>
      </w:pPr>
      <w:r>
        <w:rPr/>
        <w:t>CLÁUSULA DÉCIMA SÉTIMA – PUBLICAÇÃO</w:t>
      </w:r>
    </w:p>
    <w:p>
      <w:pPr>
        <w:pStyle w:val="Nivel2"/>
        <w:numPr>
          <w:ilvl w:val="1"/>
          <w:numId w:val="1"/>
        </w:numPr>
        <w:ind w:left="0" w:hanging="0"/>
        <w:rPr/>
      </w:pPr>
      <w:r>
        <w:rPr/>
        <w:t xml:space="preserve">Incumbirá ao contratante divulgar o presente instrumento no Portal Nacional de Contratações Públicas (PNCP), na forma prevista no </w:t>
      </w:r>
      <w:r>
        <w:fldChar w:fldCharType="begin"/>
      </w:r>
      <w:r>
        <w:rPr>
          <w:rStyle w:val="LinkdaInternet"/>
        </w:rPr>
        <w:instrText> HYPERLINK "http://www.planalto.gov.br/ccivil_03/_ato2019-2022/2021/lei/L14133.htm" \l "art94"</w:instrText>
      </w:r>
      <w:r>
        <w:rPr>
          <w:rStyle w:val="LinkdaInternet"/>
        </w:rPr>
        <w:fldChar w:fldCharType="separate"/>
      </w:r>
      <w:r>
        <w:rPr>
          <w:rStyle w:val="LinkdaInternet"/>
        </w:rPr>
        <w:t>art. 94 da Lei 14.133, de 2021</w:t>
      </w:r>
      <w:r>
        <w:rPr>
          <w:rStyle w:val="LinkdaInternet"/>
        </w:rPr>
        <w:fldChar w:fldCharType="end"/>
      </w:r>
      <w:r>
        <w:rPr/>
        <w:t xml:space="preserve">, bem como no respectivo sítio oficial na Internet, em atenção </w:t>
      </w:r>
      <w:r>
        <w:rPr>
          <w:highlight w:val="yellow"/>
        </w:rPr>
        <w:t xml:space="preserve">ao art. 91, </w:t>
      </w:r>
      <w:r>
        <w:rPr>
          <w:i/>
          <w:iCs/>
          <w:highlight w:val="yellow"/>
        </w:rPr>
        <w:t>caput</w:t>
      </w:r>
      <w:r>
        <w:rPr>
          <w:highlight w:val="yellow"/>
        </w:rPr>
        <w:t>, da Lei n.º 14.133, de 2021,</w:t>
      </w:r>
      <w:r>
        <w:rPr/>
        <w:t xml:space="preserve"> e ao  </w:t>
      </w:r>
      <w:r>
        <w:fldChar w:fldCharType="begin"/>
      </w:r>
      <w:r>
        <w:rPr>
          <w:rStyle w:val="LinkdaInternet"/>
        </w:rPr>
        <w:instrText> HYPERLINK "https://www.planalto.gov.br/ccivil_03/_ato2011-2014/2011/lei/l12527.htm" \l "art8§2"</w:instrText>
      </w:r>
      <w:r>
        <w:rPr>
          <w:rStyle w:val="LinkdaInternet"/>
        </w:rPr>
        <w:fldChar w:fldCharType="separate"/>
      </w:r>
      <w:r>
        <w:rPr>
          <w:rStyle w:val="LinkdaInternet"/>
        </w:rPr>
        <w:t>art. 8º, §2º, da Lei n. 12.527, de 2011</w:t>
      </w:r>
      <w:r>
        <w:rPr>
          <w:rStyle w:val="LinkdaInternet"/>
        </w:rPr>
        <w:fldChar w:fldCharType="end"/>
      </w:r>
      <w:r>
        <w:rPr/>
        <w:t xml:space="preserve">, c/c </w:t>
      </w:r>
      <w:r>
        <w:fldChar w:fldCharType="begin"/>
      </w:r>
      <w:r>
        <w:rPr>
          <w:rStyle w:val="LinkdaInternet"/>
        </w:rPr>
        <w:instrText> HYPERLINK "https://www.planalto.gov.br/ccivil_03/_ato2011-2014/2012/decreto/d7724.htm" \l "art7§3"</w:instrText>
      </w:r>
      <w:r>
        <w:rPr>
          <w:rStyle w:val="LinkdaInternet"/>
        </w:rPr>
        <w:fldChar w:fldCharType="separate"/>
      </w:r>
      <w:r>
        <w:rPr>
          <w:rStyle w:val="LinkdaInternet"/>
        </w:rPr>
        <w:t>art. 7º, §3º, inciso V, do Decreto n. 7.724, de 2012.</w:t>
      </w:r>
      <w:r>
        <w:rPr>
          <w:rStyle w:val="LinkdaInternet"/>
        </w:rPr>
        <w:fldChar w:fldCharType="end"/>
      </w:r>
      <w:r>
        <w:rPr/>
        <w:t xml:space="preserve"> </w:t>
      </w:r>
    </w:p>
    <w:p>
      <w:pPr>
        <w:pStyle w:val="Nivel01"/>
        <w:numPr>
          <w:ilvl w:val="0"/>
          <w:numId w:val="1"/>
        </w:numPr>
        <w:ind w:left="0" w:hanging="0"/>
        <w:rPr/>
      </w:pPr>
      <w:r>
        <w:rPr/>
        <w:t>CLÁUSULA DÉCIMA OITAVA– FORO (</w:t>
      </w:r>
      <w:r>
        <w:fldChar w:fldCharType="begin"/>
      </w:r>
      <w:r>
        <w:rPr>
          <w:rStyle w:val="LinkdaInternet"/>
        </w:rPr>
        <w:instrText> HYPERLINK "http://www.planalto.gov.br/ccivil_03/_ato2019-2022/2021/lei/L14133.htm" \l "art92§1"</w:instrText>
      </w:r>
      <w:r>
        <w:rPr>
          <w:rStyle w:val="LinkdaInternet"/>
        </w:rPr>
        <w:fldChar w:fldCharType="separate"/>
      </w:r>
      <w:r>
        <w:rPr>
          <w:rStyle w:val="LinkdaInternet"/>
        </w:rPr>
        <w:t>art. 92, §1º</w:t>
      </w:r>
      <w:r>
        <w:rPr>
          <w:rStyle w:val="LinkdaInternet"/>
        </w:rPr>
        <w:fldChar w:fldCharType="end"/>
      </w:r>
      <w:r>
        <w:rPr/>
        <w:t>)</w:t>
      </w:r>
    </w:p>
    <w:p>
      <w:pPr>
        <w:pStyle w:val="Nivel2"/>
        <w:numPr>
          <w:ilvl w:val="1"/>
          <w:numId w:val="1"/>
        </w:numPr>
        <w:ind w:left="0" w:hanging="0"/>
        <w:rPr/>
      </w:pPr>
      <w:r>
        <w:rPr/>
        <w:t xml:space="preserve">Fica eleito o Foro da Justiça Federal em </w:t>
      </w:r>
      <w:r>
        <w:rPr>
          <w:color w:val="FF0000"/>
        </w:rPr>
        <w:t>......</w:t>
      </w:r>
      <w:r>
        <w:rPr/>
        <w:t xml:space="preserve">, Seção Judiciária de </w:t>
      </w:r>
      <w:r>
        <w:rPr>
          <w:color w:val="FF0000"/>
        </w:rPr>
        <w:t>......</w:t>
      </w:r>
      <w:r>
        <w:rPr/>
        <w:t xml:space="preserve"> para dirimir os litígios que decorrerem da execução deste Termo de Contrato que não puderem ser compostos pela conciliação, conforme </w:t>
      </w:r>
      <w:r>
        <w:fldChar w:fldCharType="begin"/>
      </w:r>
      <w:r>
        <w:rPr>
          <w:rStyle w:val="LinkdaInternet"/>
        </w:rPr>
        <w:instrText> HYPERLINK "http://www.planalto.gov.br/ccivil_03/_ato2019-2022/2021/lei/L14133.htm" \l "art92§1"</w:instrText>
      </w:r>
      <w:r>
        <w:rPr>
          <w:rStyle w:val="LinkdaInternet"/>
        </w:rPr>
        <w:fldChar w:fldCharType="separate"/>
      </w:r>
      <w:r>
        <w:rPr>
          <w:rStyle w:val="LinkdaInternet"/>
        </w:rPr>
        <w:t>art. 92, §1º, da Lei nº 14.133/21.</w:t>
      </w:r>
      <w:r>
        <w:rPr>
          <w:rStyle w:val="LinkdaInternet"/>
        </w:rPr>
        <w:fldChar w:fldCharType="end"/>
      </w:r>
    </w:p>
    <w:p>
      <w:pPr>
        <w:pStyle w:val="Nivel2"/>
        <w:numPr>
          <w:ilvl w:val="0"/>
          <w:numId w:val="0"/>
        </w:numPr>
        <w:spacing w:lineRule="auto" w:line="312" w:before="120" w:after="288"/>
        <w:ind w:left="0" w:firstLine="709"/>
        <w:rPr>
          <w:i/>
          <w:i/>
          <w:iCs/>
          <w:color w:val="FF0000"/>
        </w:rPr>
      </w:pPr>
      <w:r>
        <w:rPr>
          <w:i/>
          <w:iCs/>
          <w:color w:val="FF0000"/>
        </w:rPr>
      </w:r>
    </w:p>
    <w:p>
      <w:pPr>
        <w:pStyle w:val="Nivel2"/>
        <w:numPr>
          <w:ilvl w:val="0"/>
          <w:numId w:val="0"/>
        </w:numPr>
        <w:spacing w:lineRule="auto" w:line="312" w:before="120" w:after="288"/>
        <w:ind w:left="0" w:firstLine="709"/>
        <w:rPr>
          <w:i/>
          <w:i/>
          <w:iCs/>
          <w:color w:val="auto"/>
        </w:rPr>
      </w:pPr>
      <w:r>
        <w:rPr>
          <w:i/>
          <w:iCs/>
          <w:color w:val="FF0000"/>
        </w:rPr>
        <w:t>[Local]</w:t>
      </w:r>
      <w:r>
        <w:rPr>
          <w:i/>
          <w:iCs/>
          <w:color w:val="auto"/>
        </w:rPr>
        <w:t>,</w:t>
      </w:r>
      <w:r>
        <w:rPr>
          <w:i/>
          <w:iCs/>
          <w:color w:val="FF0000"/>
        </w:rPr>
        <w:t xml:space="preserve"> [dia] </w:t>
      </w:r>
      <w:r>
        <w:rPr>
          <w:i/>
          <w:iCs/>
          <w:color w:val="auto"/>
        </w:rPr>
        <w:t>de</w:t>
      </w:r>
      <w:r>
        <w:rPr>
          <w:i/>
          <w:iCs/>
          <w:color w:val="FF0000"/>
        </w:rPr>
        <w:t xml:space="preserve"> [mês] </w:t>
      </w:r>
      <w:r>
        <w:rPr>
          <w:i/>
          <w:iCs/>
          <w:color w:val="auto"/>
        </w:rPr>
        <w:t>de</w:t>
      </w:r>
      <w:r>
        <w:rPr>
          <w:i/>
          <w:iCs/>
          <w:color w:val="FF0000"/>
        </w:rPr>
        <w:t xml:space="preserve"> [ano].</w:t>
      </w:r>
    </w:p>
    <w:p>
      <w:pPr>
        <w:pStyle w:val="Normal"/>
        <w:spacing w:lineRule="auto" w:line="312" w:before="120" w:after="288"/>
        <w:ind w:firstLine="709"/>
        <w:jc w:val="center"/>
        <w:rPr>
          <w:rFonts w:ascii="Arial" w:hAnsi="Arial" w:cs="Arial"/>
          <w:bCs/>
          <w:sz w:val="20"/>
          <w:szCs w:val="20"/>
        </w:rPr>
      </w:pPr>
      <w:commentRangeStart w:id="27"/>
      <w:r>
        <w:rPr>
          <w:rFonts w:cs="Arial" w:ascii="Arial" w:hAnsi="Arial"/>
          <w:bCs/>
          <w:sz w:val="20"/>
          <w:szCs w:val="20"/>
        </w:rPr>
        <w:t>_________________________</w:t>
      </w:r>
    </w:p>
    <w:p>
      <w:pPr>
        <w:pStyle w:val="Normal"/>
        <w:spacing w:lineRule="auto" w:line="312" w:before="120" w:after="288"/>
        <w:ind w:firstLine="709"/>
        <w:jc w:val="center"/>
        <w:rPr>
          <w:rFonts w:ascii="Arial" w:hAnsi="Arial" w:cs="Arial"/>
          <w:bCs/>
          <w:sz w:val="20"/>
          <w:szCs w:val="20"/>
        </w:rPr>
      </w:pPr>
      <w:r>
        <w:rPr>
          <w:rFonts w:cs="Arial" w:ascii="Arial" w:hAnsi="Arial"/>
          <w:bCs/>
          <w:sz w:val="20"/>
          <w:szCs w:val="20"/>
        </w:rPr>
        <w:t>Representante legal do CONTRATANTE</w:t>
      </w:r>
    </w:p>
    <w:p>
      <w:pPr>
        <w:pStyle w:val="Normal"/>
        <w:spacing w:lineRule="auto" w:line="312" w:before="120" w:after="288"/>
        <w:ind w:firstLine="709"/>
        <w:jc w:val="center"/>
        <w:rPr>
          <w:rFonts w:ascii="Arial" w:hAnsi="Arial" w:cs="Arial"/>
          <w:sz w:val="20"/>
          <w:szCs w:val="20"/>
        </w:rPr>
      </w:pPr>
      <w:r>
        <w:rPr>
          <w:rFonts w:cs="Arial" w:ascii="Arial" w:hAnsi="Arial"/>
          <w:sz w:val="20"/>
          <w:szCs w:val="20"/>
        </w:rPr>
        <w:t>_________________________</w:t>
      </w:r>
    </w:p>
    <w:p>
      <w:pPr>
        <w:pStyle w:val="Normal"/>
        <w:spacing w:lineRule="auto" w:line="312" w:before="120" w:after="288"/>
        <w:ind w:firstLine="709"/>
        <w:jc w:val="center"/>
        <w:rPr>
          <w:rFonts w:ascii="Arial" w:hAnsi="Arial" w:cs="Arial"/>
          <w:sz w:val="20"/>
          <w:szCs w:val="20"/>
        </w:rPr>
      </w:pPr>
      <w:r>
        <w:rPr>
          <w:rFonts w:cs="Arial" w:ascii="Arial" w:hAnsi="Arial"/>
          <w:bCs/>
          <w:sz w:val="20"/>
          <w:szCs w:val="20"/>
        </w:rPr>
        <w:t>Representante</w:t>
      </w:r>
      <w:r>
        <w:rPr>
          <w:rFonts w:cs="Arial" w:ascii="Arial" w:hAnsi="Arial"/>
          <w:sz w:val="20"/>
          <w:szCs w:val="20"/>
        </w:rPr>
        <w:t xml:space="preserve"> legal do CONTRATADO</w:t>
      </w:r>
    </w:p>
    <w:p>
      <w:pPr>
        <w:pStyle w:val="Normal"/>
        <w:spacing w:lineRule="auto" w:line="312" w:before="120" w:after="288"/>
        <w:ind w:firstLine="709"/>
        <w:jc w:val="both"/>
        <w:rPr>
          <w:rFonts w:ascii="Arial" w:hAnsi="Arial" w:cs="Arial"/>
          <w:i/>
          <w:i/>
          <w:iCs/>
          <w:color w:val="FF0000"/>
          <w:sz w:val="20"/>
          <w:szCs w:val="20"/>
        </w:rPr>
      </w:pPr>
      <w:r>
        <w:rPr>
          <w:rFonts w:cs="Arial" w:ascii="Arial" w:hAnsi="Arial"/>
          <w:i/>
          <w:iCs/>
          <w:color w:val="FF0000"/>
          <w:sz w:val="20"/>
          <w:szCs w:val="20"/>
        </w:rPr>
        <w:t>TESTEMUNHAS:</w:t>
      </w:r>
    </w:p>
    <w:p>
      <w:pPr>
        <w:pStyle w:val="Normal"/>
        <w:spacing w:lineRule="auto" w:line="312" w:before="120" w:after="288"/>
        <w:ind w:firstLine="709"/>
        <w:rPr>
          <w:rFonts w:ascii="Arial" w:hAnsi="Arial" w:cs="Arial"/>
          <w:i/>
          <w:i/>
          <w:iCs/>
          <w:color w:val="FF0000"/>
          <w:sz w:val="20"/>
          <w:szCs w:val="20"/>
        </w:rPr>
      </w:pPr>
      <w:r>
        <w:rPr>
          <w:rFonts w:cs="Arial" w:ascii="Arial" w:hAnsi="Arial"/>
          <w:i/>
          <w:iCs/>
          <w:color w:val="FF0000"/>
          <w:sz w:val="20"/>
          <w:szCs w:val="20"/>
        </w:rPr>
        <w:t>1-</w:t>
      </w:r>
    </w:p>
    <w:p>
      <w:pPr>
        <w:pStyle w:val="Normal"/>
        <w:spacing w:lineRule="auto" w:line="312" w:before="120" w:after="288"/>
        <w:ind w:firstLine="709"/>
        <w:rPr/>
      </w:pPr>
      <w:r>
        <w:rPr>
          <w:rFonts w:cs="Arial" w:ascii="Arial" w:hAnsi="Arial"/>
          <w:i/>
          <w:iCs/>
          <w:color w:val="FF0000"/>
          <w:sz w:val="20"/>
          <w:szCs w:val="20"/>
        </w:rPr>
        <w:t xml:space="preserve">2- </w:t>
      </w:r>
      <w:r>
        <w:rPr>
          <w:rFonts w:cs="Arial" w:ascii="Arial" w:hAnsi="Arial"/>
          <w:i/>
          <w:iCs/>
          <w:color w:val="FF0000"/>
          <w:sz w:val="20"/>
          <w:szCs w:val="20"/>
        </w:rPr>
      </w:r>
      <w:commentRangeEnd w:id="27"/>
      <w:r>
        <w:commentReference w:id="27"/>
      </w:r>
      <w:r>
        <w:rPr>
          <w:rFonts w:cs="Arial" w:ascii="Arial" w:hAnsi="Arial"/>
          <w:i/>
          <w:iCs/>
          <w:color w:val="FF0000"/>
          <w:sz w:val="20"/>
          <w:szCs w:val="20"/>
        </w:rPr>
        <w:tab/>
      </w:r>
    </w:p>
    <w:sectPr>
      <w:headerReference w:type="default" r:id="rId12"/>
      <w:footerReference w:type="default" r:id="rId13"/>
      <w:type w:val="nextPage"/>
      <w:pgSz w:w="11906" w:h="16838"/>
      <w:pgMar w:left="1134" w:right="1134" w:header="709" w:top="1418" w:footer="709" w:bottom="1418" w:gutter="0"/>
      <w:pgNumType w:fmt="decimal"/>
      <w:formProt w:val="false"/>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comment w:id="0" w:author="Autor" w:date="0-00-00T00:00:00Z" w:initials="A">
    <w:p>
      <w:r>
        <w:rPr>
          <w:rFonts w:ascii="Liberation Serif" w:hAnsi="Liberation Serif" w:eastAsia="Segoe UI"/>
          <w:b/>
          <w:bCs/>
          <w:i/>
          <w:iCs/>
          <w:color w:val="000000"/>
          <w:lang w:val="en-US" w:eastAsia="en-US" w:bidi="en-US"/>
        </w:rPr>
        <w:t xml:space="preserve">ORIENTAÇÕES PARA USO DO MODELO – </w:t>
      </w:r>
      <w:r>
        <w:rPr>
          <w:rFonts w:ascii="Liberation Serif" w:hAnsi="Liberation Serif" w:eastAsia="Segoe UI"/>
          <w:b/>
          <w:bCs/>
          <w:i/>
          <w:iCs/>
          <w:color w:val="FF0000"/>
          <w:lang w:val="en-US" w:eastAsia="en-US" w:bidi="en-US"/>
        </w:rPr>
        <w:t>LEITURA OBRIGATÓRIA</w:t>
      </w:r>
    </w:p>
    <w:p>
      <w:r>
        <w:rPr>
          <w:rFonts w:ascii="Liberation Serif" w:hAnsi="Liberation Serif" w:eastAsia="Segoe UI"/>
          <w:b/>
          <w:bCs/>
          <w:i/>
          <w:iCs/>
          <w:color w:val="000000"/>
          <w:lang w:val="en-US" w:eastAsia="en-US" w:bidi="en-US"/>
        </w:rPr>
        <w:t>1)</w:t>
      </w:r>
      <w:r>
        <w:rPr>
          <w:rFonts w:ascii="Liberation Serif" w:hAnsi="Liberation Serif" w:eastAsia="Segoe UI"/>
          <w:i/>
          <w:iCs/>
          <w:color w:val="000000"/>
          <w:lang w:val="en-US" w:eastAsia="en-US" w:bidi="en-US"/>
        </w:rPr>
        <w:t xml:space="preserve">O presente modelo de Contrato procura fornecer um ponto de partida para a definição do objeto e condições da contratação. </w:t>
      </w:r>
      <w:r>
        <w:rPr>
          <w:rFonts w:ascii="Liberation Serif" w:hAnsi="Liberation Serif" w:eastAsia="Segoe UI"/>
          <w:b/>
          <w:bCs/>
          <w:i/>
          <w:iCs/>
          <w:color w:val="000000"/>
          <w:lang w:val="en-US" w:eastAsia="en-US" w:bidi="en-US"/>
        </w:rPr>
        <w:t>As cláusulas contidas nos modelos de minuta contratual, ao contrário do TR, foram feitas para sofrerem poucas alterações. No entanto, havendo a necessidade de modificações, remanesce plenamente possível assim proceder.</w:t>
      </w:r>
    </w:p>
    <w:p>
      <w:r>
        <w:rPr>
          <w:rFonts w:ascii="Liberation Serif" w:hAnsi="Liberation Serif" w:eastAsia="Segoe UI"/>
          <w:b/>
          <w:bCs/>
          <w:i/>
          <w:iCs/>
          <w:color w:val="000000"/>
          <w:lang w:val="en-US" w:eastAsia="en-US" w:bidi="en-US"/>
        </w:rPr>
        <w:t>2)</w:t>
      </w:r>
      <w:r>
        <w:rPr>
          <w:rFonts w:ascii="Liberation Serif" w:hAnsi="Liberation Serif" w:eastAsia="Segoe UI"/>
          <w:i/>
          <w:iCs/>
          <w:color w:val="000000"/>
          <w:lang w:val="en-US" w:eastAsia="en-US" w:bidi="en-US"/>
        </w:rPr>
        <w:t xml:space="preserve">A redação em preto consiste no que se espera ser invariável. Ela até pode sofrer modificações a depender do caso concreto, mas a diferença é que não são disposições feitas para variar. Por essa razão, </w:t>
      </w:r>
      <w:r>
        <w:rPr>
          <w:rFonts w:ascii="Liberation Serif" w:hAnsi="Liberation Serif" w:eastAsia="Segoe UI"/>
          <w:b/>
          <w:bCs/>
          <w:i/>
          <w:iCs/>
          <w:color w:val="000000"/>
          <w:lang w:val="en-US" w:eastAsia="en-US" w:bidi="en-US"/>
        </w:rPr>
        <w:t>quaisquer modificações nas partes em preto, sem marcação de itálico, devem necessariamente ser justificadas nos autos,</w:t>
      </w:r>
      <w:r>
        <w:rPr>
          <w:rFonts w:ascii="Liberation Serif" w:hAnsi="Liberation Serif" w:eastAsia="Segoe UI"/>
          <w:i/>
          <w:iCs/>
          <w:color w:val="000000"/>
          <w:lang w:val="en-US" w:eastAsia="en-US" w:bidi="en-US"/>
        </w:rPr>
        <w:t xml:space="preserve"> sem prejuízo de eventual consulta ao órgão de assessoramento jurídico respectivo, a depender da matéria.</w:t>
      </w:r>
    </w:p>
    <w:p>
      <w:r>
        <w:rPr>
          <w:rFonts w:ascii="Liberation Serif" w:hAnsi="Liberation Serif" w:eastAsia="Segoe UI"/>
          <w:b/>
          <w:bCs/>
          <w:i/>
          <w:iCs/>
          <w:color w:val="000000"/>
          <w:lang w:val="en-US" w:eastAsia="en-US" w:bidi="en-US"/>
        </w:rPr>
        <w:t>3)Os itens deste modelo destacados em vermelho itálico devem ser preenchidos ou adotados pelo órgão ou entidade pública contratante segundo critérios de oportunidade e conveniência</w:t>
      </w:r>
      <w:r>
        <w:rPr>
          <w:rFonts w:ascii="Liberation Serif" w:hAnsi="Liberation Serif" w:eastAsia="Segoe UI"/>
          <w:i/>
          <w:iCs/>
          <w:color w:val="000000"/>
          <w:lang w:val="en-US" w:eastAsia="en-US" w:bidi="en-US"/>
        </w:rPr>
        <w:t xml:space="preserve">, de acordo com as peculiaridades do objeto e cuidando-se para que sejam reproduzidas as mesmas definições nos demais instrumentos da contratação (minuta do Edital, se for o caso, e minuta de Termo de Referência), para que não conflitem. São previsões feitas para variarem. Eventuais justificativas podem ser exigidas a depender do caso. </w:t>
      </w:r>
    </w:p>
    <w:p>
      <w:r>
        <w:rPr>
          <w:rFonts w:ascii="Liberation Serif" w:hAnsi="Liberation Serif" w:eastAsia="Segoe UI"/>
          <w:b/>
          <w:bCs/>
          <w:i/>
          <w:iCs/>
          <w:color w:val="000000"/>
          <w:lang w:val="en-US" w:eastAsia="en-US" w:bidi="en-US"/>
        </w:rPr>
        <w:t>4)Alguns itens receberam notas explicativas, destacadas para compreensão do agente ou setor responsável pela elaboração da Minuta Contratual</w:t>
      </w:r>
      <w:r>
        <w:rPr>
          <w:rFonts w:ascii="Liberation Serif" w:hAnsi="Liberation Serif" w:eastAsia="Segoe UI"/>
          <w:i/>
          <w:iCs/>
          <w:color w:val="000000"/>
          <w:lang w:val="en-US" w:eastAsia="en-US" w:bidi="en-US"/>
        </w:rPr>
        <w:t xml:space="preserve">, que deverão ser devidamente suprimidas ao se finalizar o documento na versão original. </w:t>
      </w:r>
    </w:p>
    <w:p>
      <w:r>
        <w:rPr>
          <w:rFonts w:ascii="Liberation Serif" w:hAnsi="Liberation Serif" w:eastAsia="Segoe UI"/>
          <w:b/>
          <w:bCs/>
          <w:i/>
          <w:iCs/>
          <w:color w:val="000000"/>
          <w:lang w:val="en-US" w:eastAsia="en-US" w:bidi="en-US"/>
        </w:rPr>
        <w:t>5)Recomenda-se indicar no processo a versão (mês e ano) utilizada para elaboração da minuta</w:t>
      </w:r>
      <w:r>
        <w:rPr>
          <w:rFonts w:ascii="Liberation Serif" w:hAnsi="Liberation Serif" w:eastAsia="Segoe UI"/>
          <w:i/>
          <w:iCs/>
          <w:color w:val="000000"/>
          <w:lang w:val="en-US" w:eastAsia="en-US" w:bidi="en-US"/>
        </w:rPr>
        <w:t>, em especial ao encaminhar o feito para análise jurídica. Tal informação consta no rodapé do documento. Essa indicação pode ocorrer expressamente no despacho de encaminhamento ou mantendo-se o rodapé na minuta encaminhada, conforme o caso. É um dado importante já que indica qual o parâmetro a ser utilizado na checagem.</w:t>
      </w:r>
    </w:p>
    <w:p>
      <w:r>
        <w:rPr>
          <w:rFonts w:ascii="Liberation Serif" w:hAnsi="Liberation Serif" w:eastAsia="Segoe UI"/>
          <w:b/>
          <w:bCs/>
          <w:i/>
          <w:iCs/>
          <w:color w:val="000000"/>
          <w:lang w:val="en-US" w:eastAsia="en-US" w:bidi="en-US"/>
        </w:rPr>
        <w:t>6)</w:t>
      </w:r>
      <w:r>
        <w:rPr>
          <w:rFonts w:ascii="Liberation Serif" w:hAnsi="Liberation Serif" w:eastAsia="Segoe UI"/>
          <w:i/>
          <w:iCs/>
          <w:color w:val="000000"/>
          <w:lang w:val="en-US" w:eastAsia="en-US" w:bidi="en-US"/>
        </w:rPr>
        <w:t>O registro das atualizações feitas (“Nota de Atualização”) em cada versão pode ser obtido na página principal dos modelos de licitações e contratos no sítio eletrônico da AGU. Quaisquer sugestões de alteração poderão ser encaminhadas ao e-mail: cgu.modeloscontratacao@agu.gov.br.</w:t>
      </w:r>
    </w:p>
    <w:p>
      <w:r>
        <w:rPr>
          <w:rFonts w:ascii="Liberation Serif" w:hAnsi="Liberation Serif" w:eastAsia="Segoe UI"/>
          <w:b/>
          <w:bCs/>
          <w:i/>
          <w:iCs/>
          <w:color w:val="000000"/>
          <w:lang w:val="en-US" w:eastAsia="en-US" w:bidi="en-US"/>
        </w:rPr>
        <w:t>7)</w:t>
      </w:r>
      <w:r>
        <w:rPr>
          <w:rFonts w:ascii="Liberation Serif" w:hAnsi="Liberation Serif" w:eastAsia="Segoe UI"/>
          <w:i/>
          <w:iCs/>
          <w:color w:val="000000"/>
          <w:lang w:val="en-US" w:eastAsia="en-US" w:bidi="en-US"/>
        </w:rPr>
        <w:t>Este modelo poderá ser adotado por todos os entes federados, conforme estabelece o inciso IV do art. 19 da Lei nº 14.133, de 1º de abril de 2021, com a realização das adequações eventualmente necessárias, sobretudo em virtude da possível existência de normas locais específicas, que poderão ser consideradas no caso concreto.</w:t>
      </w:r>
    </w:p>
  </w:comment>
  <w:comment w:id="1"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rFonts w:ascii="Liberation Serif" w:hAnsi="Liberation Serif" w:eastAsia="Segoe UI"/>
          <w:b/>
          <w:bCs/>
          <w:i/>
          <w:iCs/>
          <w:color w:val="000000"/>
          <w:lang w:val="en-US" w:eastAsia="en-US" w:bidi="en-US"/>
        </w:rPr>
        <w:t>não constem os números de documentos pessoais das pessoas naturais que irão assiná-los, como ocorre normalmente com os representantes da Administração e da empresa contratada</w:t>
      </w:r>
      <w:r>
        <w:rPr>
          <w:rFonts w:ascii="Liberation Serif" w:hAnsi="Liberation Serif" w:eastAsia="Segoe UI"/>
          <w:i/>
          <w:iCs/>
          <w:color w:val="000000"/>
          <w:lang w:val="en-US" w:eastAsia="en-US" w:bidi="en-US"/>
        </w:rPr>
        <w:t xml:space="preserve">. Em vez disso, propõe-se nos instrumentos contratuais os representantes da Administração sejam identificados apenas com a matrícula funcional [...]. Com relação aos representantes da contratada também se propõe que os instrumentos contratuais os identifiquem apenas pelo nome, até porque o </w:t>
      </w:r>
      <w:r>
        <w:rPr>
          <w:rFonts w:ascii="Liberation Serif" w:hAnsi="Liberation Serif" w:eastAsia="Segoe UI"/>
          <w:lang w:val="en-US" w:eastAsia="en-US" w:bidi="en-US"/>
        </w:rPr>
        <w:t>art. 61 da Lei nº 8.666, de 1993</w:t>
      </w:r>
      <w:r>
        <w:rPr>
          <w:rFonts w:ascii="Liberation Serif" w:hAnsi="Liberation Serif" w:eastAsia="Segoe UI"/>
          <w:i/>
          <w:iCs/>
          <w:color w:val="000000"/>
          <w:lang w:val="en-US" w:eastAsia="en-US" w:bidi="en-US"/>
        </w:rPr>
        <w:t xml:space="preserve">, e o </w:t>
      </w:r>
      <w:r>
        <w:rPr>
          <w:rFonts w:ascii="Liberation Serif" w:hAnsi="Liberation Serif" w:eastAsia="Segoe UI"/>
          <w:lang w:val="en-US" w:eastAsia="en-US" w:bidi="en-US"/>
        </w:rPr>
        <w:t>§1º do art. 89 da Lei nº 14.133, de 1º de abril de 2021</w:t>
      </w:r>
      <w:r>
        <w:rPr>
          <w:rFonts w:ascii="Liberation Serif" w:hAnsi="Liberation Serif" w:eastAsia="Segoe UI"/>
          <w:i/>
          <w:iCs/>
          <w:color w:val="000000"/>
          <w:lang w:val="en-US" w:eastAsia="en-US" w:bidi="en-US"/>
        </w:rPr>
        <w:t>, exigem apenas esse dado”.</w:t>
      </w:r>
    </w:p>
  </w:comment>
  <w:comment w:id="2" w:author="Autor" w:date="0-00-00T00:00:00Z" w:initials="A">
    <w:p>
      <w:r>
        <w:rPr>
          <w:rFonts w:ascii="Liberation Serif" w:hAnsi="Liberation Serif" w:eastAsia="Segoe UI"/>
          <w:b/>
          <w:i/>
          <w:lang w:val="en-US" w:eastAsia="en-US" w:bidi="en-US"/>
        </w:rPr>
        <w:t>Nota Explicativa</w:t>
      </w:r>
      <w:r>
        <w:rPr>
          <w:rFonts w:ascii="Liberation Serif" w:hAnsi="Liberation Serif" w:eastAsia="Segoe UI"/>
          <w:i/>
          <w:lang w:val="en-US" w:eastAsia="en-US" w:bidi="en-US"/>
        </w:rPr>
        <w:t>: As disposições a seguir decorrem dos arts. 106 e 107 da Lei nº 14.133, de 2021, bem como dos dispositivos cabíveis da Instrução Normativa SEGES/MP nº 5 de 26 de maio de 2017, cuja aplicação aos processos de licitação de serviços de que dispõe a Lei n.º 14.133, de 2021, foi autorizada pela Instrução Normativa SEGES/ME nº 98, de 26 de dezembro de 2022.</w:t>
      </w:r>
    </w:p>
  </w:comment>
  <w:comment w:id="3"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Caso se trate de contrato de valor estimativo, em que a própria demanda é variável, cabe inserir o subitem 5.3.</w:t>
      </w:r>
    </w:p>
  </w:comment>
  <w:comment w:id="4" w:author="Autor" w:date="0-00-00T00:00:00Z" w:initials="A">
    <w:p>
      <w:r>
        <w:rPr>
          <w:rFonts w:ascii="Liberation Serif" w:hAnsi="Liberation Serif" w:eastAsia="Segoe UI"/>
          <w:b/>
          <w:bCs/>
          <w:i/>
          <w:iCs/>
          <w:lang w:val="en-US" w:eastAsia="en-US" w:bidi="en-US"/>
        </w:rPr>
        <w:t xml:space="preserve">Nota Explicativa: </w:t>
      </w:r>
      <w:r>
        <w:rPr>
          <w:rFonts w:ascii="Liberation Serif" w:hAnsi="Liberation Serif" w:eastAsia="Segoe UI"/>
          <w:i/>
          <w:iCs/>
          <w:lang w:val="en-US" w:eastAsia="en-US" w:bidi="en-US"/>
        </w:rPr>
        <w:t>O</w:t>
      </w:r>
      <w:r>
        <w:rPr>
          <w:rFonts w:ascii="Liberation Serif" w:hAnsi="Liberation Serif" w:eastAsia="Segoe UI"/>
          <w:lang w:val="en-US" w:eastAsia="en-US" w:bidi="en-US"/>
        </w:rPr>
        <w:t xml:space="preserve"> </w:t>
      </w:r>
      <w:r>
        <w:rPr>
          <w:rFonts w:ascii="Liberation Serif" w:hAnsi="Liberation Serif" w:eastAsia="Segoe UI"/>
          <w:i/>
          <w:iCs/>
          <w:lang w:val="en-US" w:eastAsia="en-US" w:bidi="en-US"/>
        </w:rPr>
        <w:t xml:space="preserve">art. 135, incisos I e II, da Lei n.º 14.133/2021 estabelece que os preços dos contratos para serviços contínuos com regime de dedicação exclusiva de mão de obra ou com predominância de mão de obra serão repactuados, com data vinculada (i) à </w:t>
      </w:r>
      <w:r>
        <w:rPr>
          <w:rFonts w:ascii="Liberation Serif" w:hAnsi="Liberation Serif" w:eastAsia="Segoe UI"/>
          <w:lang w:val="en-US" w:eastAsia="en-US" w:bidi="en-US"/>
        </w:rPr>
        <w:t>data</w:t>
      </w:r>
      <w:r>
        <w:rPr>
          <w:rFonts w:ascii="Liberation Serif" w:hAnsi="Liberation Serif" w:eastAsia="Segoe UI"/>
          <w:i/>
          <w:iCs/>
          <w:lang w:val="en-US" w:eastAsia="en-US" w:bidi="en-US"/>
        </w:rPr>
        <w:t xml:space="preserve"> da apresentação da proposta, para custos decorrentes do mercado; e (ii) ao acordo, à convenção coletiva ou ao dissídio coletivo ao qual a proposta esteja vinculada, para os custos de mão de obra. Muito embora o § 3º do mesmo dispositivo legal estabeleça que o interregno mínimo de 1 (um) ano para a repactuação deverá ser contado apenas “da data da apresentação da proposta ou da data da última repactuação”, sem mencionar os instrumentos coletivos, deve-se interpretar sistemática e finalisticamente os dispositivos sob comento, para considerar que, no caso dos custos contratuais vinculados à mão de obra, a anualidade deverá ser contada a partir do início dos efeitos financeiros da norma coletiva de trabalho à qual a proposta estiver vinculada, e não à data de apresentação da proposta. Nesse sentido, inclusive, o próprio § 4º do art. 135 admite que os custos de mão de obra e os custos decorrentes dos insumos necessários à execução dos serviços têm “sua anualidade resultante em datas diferenciadas”, o que corrobora o entendimento ora adotado. </w:t>
      </w:r>
    </w:p>
  </w:comment>
  <w:comment w:id="5"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xml:space="preserve"> Os contratos de serviços executados com dedicação exclusiva de mão de obra possuem insumos de naturezas distintas, decorrentes tanto dos custos da mão de obra e de seus reflexos como dos demais insumos necessários à execução do serviço. </w:t>
      </w:r>
    </w:p>
    <w:p>
      <w:r>
        <w:rPr>
          <w:rFonts w:ascii="Liberation Serif" w:hAnsi="Liberation Serif" w:eastAsia="Segoe UI"/>
          <w:i/>
          <w:iCs/>
          <w:lang w:val="en-US" w:eastAsia="en-US" w:bidi="en-US"/>
        </w:rPr>
        <w:t xml:space="preserve">No Acórdão n.º 1214/2013 – Plenário, ao examinar a necessidade de realização de pesquisa de preços nas prorrogações dos contratos de serviços continuados com dedicação exclusiva de mão de obra, o TCU reconheceu expressamente essa diferenciação, demonstrando que os insumos não relacionados à mão de obra, passíveis de realização de pesquisa de preços, correspondem, em regra, “a no máximo 5% do orçamento total a ser licitado, como vem sendo demonstrado em licitações recentes”, de modo que não figuram entre os itens mais representativos da planilha de custos e formação de preços. Aliado a isso, registrou o TCU que: </w:t>
      </w:r>
    </w:p>
    <w:p>
      <w:r>
        <w:rPr>
          <w:rFonts w:ascii="Liberation Serif" w:hAnsi="Liberation Serif" w:eastAsia="Segoe UI"/>
          <w:i/>
          <w:iCs/>
          <w:lang w:val="en-US" w:eastAsia="en-US" w:bidi="en-US"/>
        </w:rPr>
        <w:t xml:space="preserve">“[...] fazemos parte de uma economia estável, em que a variação esperada é baixa e pode ser perfeitamente retratada mediante a utilização de índices nacionais, tal como o INPC. Portanto, </w:t>
      </w:r>
      <w:r>
        <w:rPr>
          <w:rFonts w:ascii="Liberation Serif" w:hAnsi="Liberation Serif" w:eastAsia="Segoe UI"/>
          <w:b/>
          <w:bCs/>
          <w:i/>
          <w:iCs/>
          <w:lang w:val="en-US" w:eastAsia="en-US" w:bidi="en-US"/>
        </w:rPr>
        <w:t>não há razão para efetuar pesquisa de mercado todas as vezes que é necessária a realização de prorrogação contratual, com todo o custo administrativo que representa</w:t>
      </w:r>
      <w:r>
        <w:rPr>
          <w:rFonts w:ascii="Liberation Serif" w:hAnsi="Liberation Serif" w:eastAsia="Segoe UI"/>
          <w:i/>
          <w:iCs/>
          <w:lang w:val="en-US" w:eastAsia="en-US" w:bidi="en-US"/>
        </w:rPr>
        <w:t>. [...] É notório que o custo/prazo que será despendido para a realização de pesquisa de mercado para a prorrogação do contrato, além de impeditivo, não é aconselhável em vista da baixa representatividade desses itens no orçamento global”.</w:t>
      </w:r>
    </w:p>
    <w:p>
      <w:r>
        <w:rPr>
          <w:rFonts w:ascii="Liberation Serif" w:hAnsi="Liberation Serif" w:eastAsia="Segoe UI"/>
          <w:i/>
          <w:iCs/>
          <w:lang w:val="en-US" w:eastAsia="en-US" w:bidi="en-US"/>
        </w:rPr>
        <w:t xml:space="preserve">186.Ademais, a pesquisa de mercado normalmente leva a preços superiores àqueles alcançados durante a licitação. Portanto, </w:t>
      </w:r>
      <w:r>
        <w:rPr>
          <w:rFonts w:ascii="Liberation Serif" w:hAnsi="Liberation Serif" w:eastAsia="Segoe UI"/>
          <w:b/>
          <w:bCs/>
          <w:i/>
          <w:iCs/>
          <w:lang w:val="en-US" w:eastAsia="en-US" w:bidi="en-US"/>
        </w:rPr>
        <w:t xml:space="preserve">a utilização de um índice adequado, além de retratar a realidade do mercado, evita prejuízo desnecessário à Administração, assim como para a empresa contratado. </w:t>
      </w:r>
    </w:p>
    <w:p>
      <w:r>
        <w:rPr>
          <w:rFonts w:ascii="Liberation Serif" w:hAnsi="Liberation Serif" w:eastAsia="Segoe UI"/>
          <w:i/>
          <w:iCs/>
          <w:lang w:val="en-US" w:eastAsia="en-US" w:bidi="en-US"/>
        </w:rPr>
        <w:t>192.</w:t>
      </w:r>
      <w:r>
        <w:rPr>
          <w:rFonts w:ascii="Liberation Serif" w:hAnsi="Liberation Serif" w:eastAsia="Segoe UI"/>
          <w:b/>
          <w:bCs/>
          <w:i/>
          <w:iCs/>
          <w:lang w:val="en-US" w:eastAsia="en-US" w:bidi="en-US"/>
        </w:rPr>
        <w:t xml:space="preserve">É flagrante que o uso de índice específico e adequado, além de trazer significativo benefício à Administração, será a forma mais apropriada para comprovar que o contrato continua vantajoso </w:t>
      </w:r>
      <w:r>
        <w:rPr>
          <w:rFonts w:ascii="Liberation Serif" w:hAnsi="Liberation Serif" w:eastAsia="Segoe UI"/>
          <w:i/>
          <w:iCs/>
          <w:lang w:val="en-US" w:eastAsia="en-US" w:bidi="en-US"/>
        </w:rPr>
        <w:t xml:space="preserve">no momento da prorrogação”. (grifo nosso) </w:t>
      </w:r>
    </w:p>
    <w:p>
      <w:r>
        <w:rPr>
          <w:rFonts w:ascii="Liberation Serif" w:hAnsi="Liberation Serif" w:eastAsia="Segoe UI"/>
          <w:i/>
          <w:iCs/>
          <w:lang w:val="en-US" w:eastAsia="en-US" w:bidi="en-US"/>
        </w:rPr>
        <w:t xml:space="preserve">Nessa linha, concluiu que a vantajosidade econômica para prorrogação de contratos de serviços continuados restaria garantida sempre que, além da previsão contratual de que as repactuações de custos  envolvendo a folha de salários fossem efetuadas somente com base em instrumento coletivo de trabalho, ou em decorrência de lei, houvesse no contrato previsão de que os reajustes dos itens envolvendo insumos (exceto quanto a obrigações decorrentes de acordo ou convenção coletiva de trabalho e de Lei) e materiais fossem efetuados com base em índices oficiais, previamente estabelecidos no contrato. </w:t>
      </w:r>
    </w:p>
    <w:p>
      <w:r>
        <w:rPr>
          <w:rFonts w:ascii="Liberation Serif" w:hAnsi="Liberation Serif" w:eastAsia="Segoe UI"/>
          <w:i/>
          <w:iCs/>
          <w:lang w:val="en-US" w:eastAsia="en-US" w:bidi="en-US"/>
        </w:rPr>
        <w:t xml:space="preserve">Tal regramento foi incorporado ao art. 30-A, § 2º, inciso II, da IN SLTI/MP n.º 02/2008, em vigor à época, que teve sua redação atualizada pela IN SLTI/MP n.º 06/2013, conferindo à Administração, com isso, a viabilidade de prever, num mesmo contrato para execução de serviços com regime de dedicação exclusiva de mão de obra, a repactuação para os itens decorrentes da mão de obra, com base nas disposições constantes em instrumentos coletivos de trabalho, e o reajuste dos preços dos demais insumos, com base em “índices oficiais, previamente definidos no contrato, que guardem a maior correlação possível com o segmento econômico em que estejam inseridos tais insumos ou materiais ou, na falta de qualquer índice setorial, o Índice Nacional de Preços ao Consumidor Amplo (IPCA/IBGE)”. </w:t>
      </w:r>
    </w:p>
    <w:p>
      <w:r>
        <w:rPr>
          <w:rFonts w:ascii="Liberation Serif" w:hAnsi="Liberation Serif" w:eastAsia="Segoe UI"/>
          <w:i/>
          <w:iCs/>
          <w:lang w:val="en-US" w:eastAsia="en-US" w:bidi="en-US"/>
        </w:rPr>
        <w:t xml:space="preserve">Ficou a Administração dispensada, pois, da realização de pesquisa individualizada, que considerasse “os preços praticados no mercado ou em outros contratos da Administração”, “as particularidades do contrato em vigência” ou “indicadores setoriais, tabelas de fabricantes, valores oficiais de referência, tarifas públicas ou outros equivalentes;” (art. 40, § 2º, da IN SLTI/MP n.º 02/2008) para comprovar, naquele tipo de contrato, a efetiva variação dos preços de insumos e materiais não relacionados à mão de obra. </w:t>
      </w:r>
    </w:p>
    <w:p>
      <w:r>
        <w:rPr>
          <w:rFonts w:ascii="Liberation Serif" w:hAnsi="Liberation Serif" w:eastAsia="Segoe UI"/>
          <w:i/>
          <w:iCs/>
          <w:lang w:val="en-US" w:eastAsia="en-US" w:bidi="en-US"/>
        </w:rPr>
        <w:t xml:space="preserve">Nos mesmos moldes da IN SLTI/MP n.º 02/2008, a IN SEGES/MP n.º 05/2017, em seu Anexo IX, item 7, alíneas “a” e "b", manteve disposição expressa possibilitando a adoção do reajuste por índices oficiais dos insumos não relacionados à mão de obra. </w:t>
      </w:r>
    </w:p>
    <w:p>
      <w:r>
        <w:rPr>
          <w:rFonts w:ascii="Liberation Serif" w:hAnsi="Liberation Serif" w:eastAsia="Segoe UI"/>
          <w:i/>
          <w:iCs/>
          <w:lang w:val="en-US" w:eastAsia="en-US" w:bidi="en-US"/>
        </w:rPr>
        <w:t xml:space="preserve">A Lei n.º 14.133/2021, por sua vez, ao tratar da repactuação, não trouxe previsão específica acerca da possibilidade de adoção do reajuste por índices dos valores dos insumos contratuais não relacionados à mão de obra. Nada obstante, nota-se que a nova Lei de Licitações também não estabeleceu vedação nesse sentido. </w:t>
      </w:r>
    </w:p>
    <w:p>
      <w:r>
        <w:rPr>
          <w:rFonts w:ascii="Liberation Serif" w:hAnsi="Liberation Serif" w:eastAsia="Segoe UI"/>
          <w:i/>
          <w:iCs/>
          <w:lang w:val="en-US" w:eastAsia="en-US" w:bidi="en-US"/>
        </w:rPr>
        <w:t>Na verdade, ao prever que o reajustamento em sentido estrito, mediante a aplicação de índices, é cabível “quando não houver regime de dedicação exclusiva de mão de obra ou predominância de mão de obra”, ao passo que a repactuação, mediante demonstração analítica da variação dos custos, deve ser utilizada “quando houver regime de dedicação exclusiva de mão de obra ou predominância de mão de obra” (art. 92, § 4º), pode-se considerar que a lei terminou por deixar claro em relação a quais tipos de parcelas dos custos da contratação se aplica cada um dos critérios de reajustamento mencionados.</w:t>
      </w:r>
    </w:p>
    <w:p>
      <w:r>
        <w:rPr>
          <w:rFonts w:ascii="Liberation Serif" w:hAnsi="Liberation Serif" w:eastAsia="Segoe UI"/>
          <w:i/>
          <w:iCs/>
          <w:lang w:val="en-US" w:eastAsia="en-US" w:bidi="en-US"/>
        </w:rPr>
        <w:t xml:space="preserve">Nessa linha, parece-nos ser razoável interpretar o texto legal para concluir ser cabível o reajustamento, por meio da aplicação de índices, especificamente em relação à parcela da contratação cujos custos não estejam relacionados à mão de obra, isto é, à parcela dos insumos necessários à execução dos serviços, cuja variação de custos decorra do mercado. A repactuação, por meio da demonstração analítica da variação de custos, por sua vez, seria reservada exclusivamente para reajustar os custos decorrentes da mão de obra, vinculados, quase sempre, a uma norma coletiva de trabalho. </w:t>
      </w:r>
    </w:p>
    <w:p>
      <w:r>
        <w:rPr>
          <w:rFonts w:ascii="Liberation Serif" w:hAnsi="Liberation Serif" w:eastAsia="Segoe UI"/>
          <w:i/>
          <w:iCs/>
          <w:lang w:val="en-US" w:eastAsia="en-US" w:bidi="en-US"/>
        </w:rPr>
        <w:t>Forte nessa premissa, e diante do arcabouço normativo acima citado, das Orientações Normativas AGU n.º 23 e n.º 25 e de todo o trabalho interpretativo e de consolidação de entendimentos realizados nessa seara, a Câmara Nacional de Modelos de Licitações e Contratos da CGU considera viável a adoção  da repactuação para os insumos relacionados à mão de obra, combinada com a adoção de índices para reajustamento dos insumos e materiais a ela não relacionados, nos contratos de serviços continuados executados com regime de dedicação exclusiva de mão de obra dispensando-se a Administração de realizar pesquisa de preços, para demonstrar o aumento desses custos.</w:t>
      </w:r>
    </w:p>
    <w:p>
      <w:r>
        <w:rPr>
          <w:rFonts w:ascii="Liberation Serif" w:hAnsi="Liberation Serif" w:eastAsia="Segoe UI"/>
          <w:i/>
          <w:iCs/>
          <w:lang w:val="en-US" w:eastAsia="en-US" w:bidi="en-US"/>
        </w:rPr>
        <w:t xml:space="preserve">Acerca do assunto, destaca-se o teor do PARECER n. 00002/2018/CPMLC/CGU/AGU (NUP: 00688.000822/2017-65), elaborado pela Comissão, nos seguintes termos: </w:t>
      </w:r>
    </w:p>
    <w:p>
      <w:r>
        <w:rPr>
          <w:rFonts w:ascii="Liberation Serif" w:hAnsi="Liberation Serif" w:eastAsia="Segoe UI"/>
          <w:i/>
          <w:iCs/>
          <w:lang w:val="en-US" w:eastAsia="en-US" w:bidi="en-US"/>
        </w:rPr>
        <w:t xml:space="preserve">“170. [...] permito-me adentrar na seara operacional/administrativa para registrar a impressão de que a combinação da repactuação para os insumos relacionados à mão de obra com a adoção de índices específicos, setoriais ou gerais para os insumos e materiais a ela não relacionados é o modo de agir que mais contribui para a eficiente gestão do contrato, na medida em que restringe o trabalho mais intrincado de análise de documentação aos contratos com mão de obra, e mais precisamente aos insumos ligados à mão de obra, que representam o maior custo desses contratos.  </w:t>
      </w:r>
    </w:p>
    <w:p>
      <w:r>
        <w:rPr>
          <w:rFonts w:ascii="Liberation Serif" w:hAnsi="Liberation Serif" w:eastAsia="Segoe UI"/>
          <w:i/>
          <w:iCs/>
          <w:lang w:val="en-US" w:eastAsia="en-US" w:bidi="en-US"/>
        </w:rPr>
        <w:t>171. Observa-se, com isso, a finalidade legal e regulamentar de evitar o chamado gatilho salarial, ou seja, que o índice inflacionário seja incorporado ao valor da mão de obra, que então contribuiria para o aumento da inflação, e assim sucessivamente. O instituto da repactuação rompe com esse círculo, porque remete as partes da relação de emprego à mesa de negociação, por intermédio dos respectivos Sindicatos, evitando-se a mera incorporação de índices. Isso pode até vir a acontecer, mas somente depois da negociação. A administração, então, apenas traduz o resultado dessa negociação na equação econômico-financeira do contrato. Essa a razão pela qual o instituto deve voltar-se com toda certeza aos insumos relacionados à relação de trabalho.</w:t>
      </w:r>
    </w:p>
    <w:p>
      <w:r>
        <w:rPr>
          <w:rFonts w:ascii="Liberation Serif" w:hAnsi="Liberation Serif" w:eastAsia="Segoe UI"/>
          <w:i/>
          <w:iCs/>
          <w:lang w:val="en-US" w:eastAsia="en-US" w:bidi="en-US"/>
        </w:rPr>
        <w:t xml:space="preserve">172. Já expandir esse instituto também para os insumos e materiais não relacionados à mão de obra, como consequência de não se admitir índices gerais, representa um ônus considerável para cada uma das unidades administrativas com competência para contratar, que chegam aos milhares, porque vai implicar em toda uma análise documental e probatória em cada um dos contratos administrativos de serviços, com resultados na maioria absoluta dos casos insignificantes, em comparação com a mera aplicação de índices pré-estabelecidos. A bem da verdade, frequentemente essa instrução probatória para a repactuação de insumos não relacionadas à mão de obra acaba por reajustar o valor do contrato em patamar superior ao da mera aplicação do índice. E nesse caso a Administração dispensou todo um meticuloso trabalho realizado por instituições conceituadas para a obtenção de tais índices, um dos quais inclusive adotado pelo Banco Central do Brasil para medir a inflação, o Índice Nacional de Preços ao Consumidor Amplo Especial - IPCA, e ainda expressamente previsto no art. 101, caput e 107, §1º, II do ADCT (embora não seja de utilização obrigatória, como bem esclarece, mais uma vez, o Parecer n. 00149/2018/CJU-SP/CGU/AGU. </w:t>
      </w:r>
    </w:p>
    <w:p>
      <w:r>
        <w:rPr>
          <w:rFonts w:ascii="Liberation Serif" w:hAnsi="Liberation Serif" w:eastAsia="Segoe UI"/>
          <w:i/>
          <w:iCs/>
          <w:lang w:val="en-US" w:eastAsia="en-US" w:bidi="en-US"/>
        </w:rPr>
        <w:t>173. De qualquer forma, não é à toa que houve todo um trabalho de formação de entendimentos e interpretações para consolidar o posicionamento de que se aplica a repactuação somente para os insumos relacionados à mão de obra nos contratos com mão de obra exclusiva e, para os demais insumos e demais contratos, aplica-se o reajuste, com a adoção de índices gerais, em não havendo setoriais ou específicos”.</w:t>
      </w:r>
    </w:p>
    <w:p>
      <w:r>
        <w:rPr>
          <w:rFonts w:ascii="Liberation Serif" w:hAnsi="Liberation Serif" w:eastAsia="Segoe UI"/>
          <w:i/>
          <w:iCs/>
          <w:lang w:val="en-US" w:eastAsia="en-US" w:bidi="en-US"/>
        </w:rPr>
        <w:t>Em hipóteses tais, a Administração deverá atentar para que o índice utilizado seja o indicador mais próximo da efetiva variação dos preços dos insumos e materiais a serem fornecidos, valendo-se, pois, em regra, da adoção de índices setoriais ou específicos. “Caso inexistam índices setoriais ou específicos, deverá ser adotado o índice geral de preços que melhor esteja correlacionado com os custos do objeto contratual ou, ainda, em caráter subsidiário, verificar se existe, no mercado, algum índice geral de adoção consagrada para o objeto contratado. Não havendo índices com uma dessas características, deve ser adotado o reajustamento pelo IPCA/IBGE, pois é o índice oficial de monitoramento da inflação no Brasil. Qualquer que seja o índice utilizado, a Administração deverá justificar sua escolha tecnicamente. A Administração poderá, ainda, se valer de índices diferenciados, de forma justificada, de acordo com as peculiaridades envolvidas no objeto contratual”. (Parecer n.º 04/2013/CPLC/DEPCONSU/PGF/AGU, NUP: 00407.001847/2013-61).</w:t>
      </w:r>
    </w:p>
  </w:comment>
  <w:comment w:id="6" w:author="Autor" w:date="0-00-00T00:00:00Z" w:initials="A">
    <w:p>
      <w:r>
        <w:rPr>
          <w:rFonts w:ascii="Liberation Serif" w:hAnsi="Liberation Serif" w:eastAsia="Segoe UI"/>
          <w:b/>
          <w:i/>
          <w:lang w:val="en-US" w:eastAsia="en-US" w:bidi="en-US"/>
        </w:rPr>
        <w:t>Nota Explicativa:</w:t>
      </w:r>
      <w:r>
        <w:rPr>
          <w:rFonts w:ascii="Liberation Serif" w:hAnsi="Liberation Serif" w:eastAsia="Segoe UI"/>
          <w:lang w:val="en-US" w:eastAsia="en-US" w:bidi="en-US"/>
        </w:rPr>
        <w:t xml:space="preserve"> </w:t>
      </w:r>
      <w:r>
        <w:rPr>
          <w:rFonts w:ascii="Liberation Serif" w:hAnsi="Liberation Serif" w:eastAsia="Segoe UI"/>
          <w:i/>
          <w:lang w:val="en-US" w:eastAsia="en-US" w:bidi="en-US"/>
        </w:rPr>
        <w:t xml:space="preserve">Ao preencher este item, a Administração deverá observar que, segundo o art. 92, § 6º, da Lei n.º 14.133/2021, o prazo para resposta ao pedido de repactuação de preços será </w:t>
      </w:r>
      <w:r>
        <w:rPr>
          <w:rFonts w:ascii="Liberation Serif" w:hAnsi="Liberation Serif" w:eastAsia="Segoe UI"/>
          <w:b/>
          <w:i/>
          <w:lang w:val="en-US" w:eastAsia="en-US" w:bidi="en-US"/>
        </w:rPr>
        <w:t>preferencialmente de 1 (um) mês</w:t>
      </w:r>
      <w:r>
        <w:rPr>
          <w:rFonts w:ascii="Liberation Serif" w:hAnsi="Liberation Serif" w:eastAsia="Segoe UI"/>
          <w:i/>
          <w:lang w:val="en-US" w:eastAsia="en-US" w:bidi="en-US"/>
        </w:rPr>
        <w:t>, contado da data do fornecimento da documentação prevista no § 6º do art. 135 do mesmo texto legal. Sendo o referido prazo legalmente definindo como preferencial, a adoção de prazo diverso é possível, desde que especificamente fundamentada a sua necessidade.</w:t>
      </w:r>
    </w:p>
  </w:comment>
  <w:comment w:id="7" w:author="Autor" w:date="0-00-00T00:00:00Z" w:initials="A">
    <w:p>
      <w:r>
        <w:rPr>
          <w:rFonts w:ascii="Liberation Serif" w:hAnsi="Liberation Serif" w:eastAsia="Segoe UI"/>
          <w:b/>
          <w:i/>
          <w:lang w:val="en-US" w:eastAsia="en-US" w:bidi="en-US"/>
        </w:rPr>
        <w:t>Nota Explicativa:</w:t>
      </w:r>
      <w:r>
        <w:rPr>
          <w:rFonts w:ascii="Liberation Serif" w:hAnsi="Liberation Serif" w:eastAsia="Segoe UI"/>
          <w:lang w:val="en-US" w:eastAsia="en-US" w:bidi="en-US"/>
        </w:rPr>
        <w:t xml:space="preserve"> </w:t>
      </w:r>
      <w:r>
        <w:rPr>
          <w:rFonts w:ascii="Liberation Serif" w:hAnsi="Liberation Serif" w:eastAsia="Segoe UI"/>
          <w:i/>
          <w:lang w:val="en-US" w:eastAsia="en-US" w:bidi="en-US"/>
        </w:rPr>
        <w:t xml:space="preserve">Segundo a Orientação Normativa SLTI/MP nº 2, de 22 de agosto de 2014, a majoração da tarifa de transporte público geraria a possibilidade de repactuação do item relativo aos valores pagos a título de vale-transporte. Entretanto, além de ter sido editada sob a égide da Lei n.º 8.666/1993 e dos normativos que a regulamentavam, referida Orientação Normativa veio a ser expressamente revogada pelo art. 2º, inciso VI, da Instrução Normativa SEGES/ME nº 102, de 16 de outubro de 2020. </w:t>
      </w:r>
    </w:p>
    <w:p>
      <w:r>
        <w:rPr>
          <w:rFonts w:ascii="Liberation Serif" w:hAnsi="Liberation Serif" w:eastAsia="Segoe UI"/>
          <w:i/>
          <w:lang w:val="en-US" w:eastAsia="en-US" w:bidi="en-US"/>
        </w:rPr>
        <w:t xml:space="preserve">Diante disso, sobre a natureza dessa majoração de custos, deve-se ter em mente que, segundo a Lei n° 7.418, de 16 de dezembro de 1985, o vale-transporte deve ser emitido e comercializado ao preço da tarifa vigente do respectivo sistema de transporte coletivo público, urbano ou intermunicipal e/ou interestadual, utilizado pelo empregado em seu deslocamento, adotando-se, inclusive, para esse fim, a tarifa integral do deslocamento do trabalhador, por um ou mais meios de transporte, sem quaisquer descontos. Em outras palavras, o valor do vale-transporte está diretamente atrelado ao valor da tarifa de transporte coletivo público. </w:t>
      </w:r>
    </w:p>
    <w:p>
      <w:r>
        <w:rPr>
          <w:rFonts w:ascii="Liberation Serif" w:hAnsi="Liberation Serif" w:eastAsia="Segoe UI"/>
          <w:i/>
          <w:lang w:val="en-US" w:eastAsia="en-US" w:bidi="en-US"/>
        </w:rPr>
        <w:t xml:space="preserve">O valor da tarifa de transporte coletivo público, por sua vez, deve ser fixado pela autoridade pública competente, como bem registrado no art. 1º da Lei n° 7.418/1985, por meio de lei ou ato normativo.  </w:t>
      </w:r>
    </w:p>
    <w:p>
      <w:r>
        <w:rPr>
          <w:rFonts w:ascii="Liberation Serif" w:hAnsi="Liberation Serif" w:eastAsia="Segoe UI"/>
          <w:i/>
          <w:lang w:val="en-US" w:eastAsia="en-US" w:bidi="en-US"/>
        </w:rPr>
        <w:t>Dessa forma, a alteração do valor do vale-transporte, por decorrer da majoração da tarifa de transporte público pelo Poder Executivo local, configura hipótese de fato do príncipe, que, conforme o art. 124, inciso II, alínea “d”, da Lei n.º 14.133/2021, autoriza o reequilíbrio econômico-financeiro  dos preços contratados - e não a sua repactuação - nos casos em que o Poder Público, no uso de prerrogativas alheias à sua qualidade de contratante, adota medidas de ordem geral que repercutem no contrato administrativo e desbalanceiam o equilíbrio econômico-financeiro originalmente estabelecido.</w:t>
      </w:r>
    </w:p>
    <w:p>
      <w:r>
        <w:rPr>
          <w:rFonts w:ascii="Liberation Serif" w:hAnsi="Liberation Serif" w:eastAsia="Segoe UI"/>
          <w:i/>
          <w:lang w:val="en-US" w:eastAsia="en-US" w:bidi="en-US"/>
        </w:rPr>
        <w:t xml:space="preserve">Muito embora a revisão contratual com base no fato do príncipe demande, em regra, a alteração bilateral do contrato por meio de termo aditivo, entende-se que, havendo previsão em contrato, poderá ser utilizado o apostilamento para formalizar a alteração do valor do vale-transporte, uma vez que o art. 136, inciso II, da Lei n.º 14.133/2021, autoriza a simples apostila quando o contrato trouxer cláusulas para atualização de valores cuja incidência se dá de modo simplificado, como ocorre nesse caso. </w:t>
      </w:r>
    </w:p>
    <w:p>
      <w:r>
        <w:rPr>
          <w:rFonts w:ascii="Liberation Serif" w:hAnsi="Liberation Serif" w:eastAsia="Segoe UI"/>
          <w:i/>
          <w:lang w:val="en-US" w:eastAsia="en-US" w:bidi="en-US"/>
        </w:rPr>
        <w:t xml:space="preserve">Daí porque se mostra recomendável a inclusão de cláusula contratual expressa, nos termos acima, estabelecendo que a revisão dos custos do valor do vale-transporte deverá ser formalizada por apostilamento, e não por termo aditivo.   </w:t>
      </w:r>
    </w:p>
  </w:comment>
  <w:comment w:id="8"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Nos termos do </w:t>
      </w:r>
      <w:r>
        <w:rPr>
          <w:rFonts w:ascii="Liberation Serif" w:hAnsi="Liberation Serif" w:eastAsia="Segoe UI"/>
          <w:lang w:val="en-US" w:eastAsia="en-US" w:bidi="en-US"/>
        </w:rPr>
        <w:t>art. 123 da Lei nº 14.133/21</w:t>
      </w:r>
      <w:r>
        <w:rPr>
          <w:rFonts w:ascii="Liberation Serif" w:hAnsi="Liberation Serif" w:eastAsia="Segoe UI"/>
          <w:i/>
          <w:iCs/>
          <w:color w:val="000000"/>
          <w:lang w:val="en-US" w:eastAsia="en-US" w:bidi="en-US"/>
        </w:rPr>
        <w:t xml:space="preserve">, a Administração tem o dever de decidir questões contratuais que lhe são apresentadas. O prazo do subitem  pode ser especificado pela Administração, conforme a complexidade do objeto contratual e os trâmites internos das áreas envolvidas na execução contratual. Caso não haja especificação, o </w:t>
      </w:r>
      <w:r>
        <w:rPr>
          <w:rFonts w:ascii="Liberation Serif" w:hAnsi="Liberation Serif" w:eastAsia="Segoe UI"/>
          <w:lang w:val="en-US" w:eastAsia="en-US" w:bidi="en-US"/>
        </w:rPr>
        <w:t>art. 123, parágrafo único, da Lei n.º 14.133, de 2021</w:t>
      </w:r>
      <w:r>
        <w:rPr>
          <w:rFonts w:ascii="Liberation Serif" w:hAnsi="Liberation Serif" w:eastAsia="Segoe UI"/>
          <w:i/>
          <w:iCs/>
          <w:color w:val="000000"/>
          <w:lang w:val="en-US" w:eastAsia="en-US" w:bidi="en-US"/>
        </w:rPr>
        <w:t xml:space="preserve">, e o </w:t>
      </w:r>
      <w:r>
        <w:rPr>
          <w:rFonts w:ascii="Liberation Serif" w:hAnsi="Liberation Serif" w:eastAsia="Segoe UI"/>
          <w:lang w:val="en-US" w:eastAsia="en-US" w:bidi="en-US"/>
        </w:rPr>
        <w:t>art. 28, do Decreto n.º 11.246, de 2022</w:t>
      </w:r>
      <w:r>
        <w:rPr>
          <w:rFonts w:ascii="Liberation Serif" w:hAnsi="Liberation Serif" w:eastAsia="Segoe UI"/>
          <w:i/>
          <w:iCs/>
          <w:color w:val="000000"/>
          <w:lang w:val="en-US" w:eastAsia="en-US" w:bidi="en-US"/>
        </w:rPr>
        <w:t>, estabelecem que o prazo será de um mês.</w:t>
      </w:r>
    </w:p>
  </w:comment>
  <w:comment w:id="9" w:author="Autor" w:date="0-00-00T00:00:00Z" w:initials="A">
    <w:p>
      <w:r>
        <w:rPr>
          <w:rFonts w:ascii="Liberation Serif" w:hAnsi="Liberation Serif" w:eastAsia="Segoe UI"/>
          <w:b/>
          <w:bCs/>
          <w:lang w:val="en-US" w:eastAsia="en-US" w:bidi="en-US"/>
        </w:rPr>
        <w:t>Nota Explicativa:</w:t>
      </w:r>
      <w:r>
        <w:rPr>
          <w:rFonts w:ascii="Liberation Serif" w:hAnsi="Liberation Serif" w:eastAsia="Segoe UI"/>
          <w:lang w:val="en-US" w:eastAsia="en-US" w:bidi="en-US"/>
        </w:rPr>
        <w:t xml:space="preserve"> O art. 92, inciso XI, da Lei nº 14.133, de 2021,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art. 123 do texto legal, o que deverá ser analisado conforme as especificidades de cada órgão.</w:t>
      </w:r>
    </w:p>
  </w:comment>
  <w:comment w:id="10"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Este modelo contém obrigações gerais, que podem ser aplicadas aos mais diversos tipos de contratações de serviços. Entretanto, compete ao órgão definir quais obrigações serão aplicáveis, incluindo, modificando ou excluindo itens a depender das especificidades do objeto.</w:t>
      </w:r>
    </w:p>
  </w:comment>
  <w:comment w:id="11"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Cada vício, defeito ou incorreção verificada pelo fiscal do contrato reveste-se de peculiar característica. Por isso que, diante da natureza do objeto contratado, é impróprio determinar prazo único para as correções devidas, devendo o fiscal do contrato, avaliar o caso concreto, para o fim de fixar prazo para as correções.</w:t>
      </w:r>
    </w:p>
  </w:comment>
  <w:comment w:id="12" w:author="Autor" w:date="0-00-00T00:00:00Z" w:initials="A">
    <w:p>
      <w:r>
        <w:rPr>
          <w:rFonts w:ascii="Liberation Serif" w:hAnsi="Liberation Serif" w:eastAsia="Segoe UI"/>
          <w:b/>
          <w:bCs/>
          <w:i/>
          <w:iCs/>
          <w:color w:val="000000"/>
          <w:lang w:val="en-US" w:eastAsia="en-US" w:bidi="en-US"/>
        </w:rPr>
        <w:t>Nota explicativa 1:</w:t>
      </w:r>
      <w:r>
        <w:rPr>
          <w:rFonts w:ascii="Liberation Serif" w:hAnsi="Liberation Serif" w:eastAsia="Segoe UI"/>
          <w:i/>
          <w:iCs/>
          <w:color w:val="000000"/>
          <w:lang w:val="en-US" w:eastAsia="en-US" w:bidi="en-US"/>
        </w:rPr>
        <w:t xml:space="preserve"> O artigo 193 do CTN preceitua que a prova da quitação de todos os tributos devidos dar-se-á no âmbito da Fazenda Pública interessada. Portanto, a comprovação de inscrição no cadastro de contribuinte e regularidade fiscal correspondente considerará a natureza da atividade objeto da contratação.</w:t>
      </w:r>
    </w:p>
    <w:p>
      <w:r>
        <w:rPr>
          <w:rFonts w:ascii="Liberation Serif" w:hAnsi="Liberation Serif" w:eastAsia="Segoe UI"/>
          <w:i/>
          <w:iCs/>
          <w:color w:val="000000"/>
          <w:lang w:val="en-US" w:eastAsia="en-US" w:bidi="en-US"/>
        </w:rPr>
        <w:t xml:space="preserve">Via de regra, a prestação de serviços de modo geral é hipótese de incidência de tributação municipal (Imposto Sobre Serviços de Qualquer Natureza - ISSQN), conforme lista anexa </w:t>
      </w:r>
      <w:r>
        <w:rPr>
          <w:rFonts w:ascii="Liberation Serif" w:hAnsi="Liberation Serif" w:eastAsia="Segoe UI"/>
          <w:lang w:val="en-US" w:eastAsia="en-US" w:bidi="en-US"/>
        </w:rPr>
        <w:t>à Lei Complementar nº 116/2003</w:t>
      </w:r>
      <w:r>
        <w:rPr>
          <w:rFonts w:ascii="Liberation Serif" w:hAnsi="Liberation Serif" w:eastAsia="Segoe UI"/>
          <w:i/>
          <w:iCs/>
          <w:color w:val="000000"/>
          <w:lang w:val="en-US" w:eastAsia="en-US" w:bidi="en-US"/>
        </w:rPr>
        <w:t xml:space="preserve">.  </w:t>
      </w:r>
    </w:p>
    <w:p>
      <w:r>
        <w:rPr>
          <w:rFonts w:ascii="Liberation Serif" w:hAnsi="Liberation Serif" w:eastAsia="Segoe UI"/>
          <w:i/>
          <w:iCs/>
          <w:color w:val="000000"/>
          <w:lang w:val="en-US" w:eastAsia="en-US" w:bidi="en-US"/>
        </w:rPr>
        <w:t>Existem, contudo, situações em que a prestação de um serviço pode dar ensejo à incidência de tributação estadual pelo ICMS. Como exemplos, citem-se os serviços de transporte interestadual e intermunicipal e os serviços de comunicação (</w:t>
      </w:r>
      <w:r>
        <w:rPr>
          <w:rFonts w:ascii="Liberation Serif" w:hAnsi="Liberation Serif" w:eastAsia="Segoe UI"/>
          <w:lang w:val="en-US" w:eastAsia="en-US" w:bidi="en-US"/>
        </w:rPr>
        <w:t>art. 155, II, da CF/88</w:t>
      </w:r>
      <w:r>
        <w:rPr>
          <w:rFonts w:ascii="Liberation Serif" w:hAnsi="Liberation Serif" w:eastAsia="Segoe UI"/>
          <w:i/>
          <w:iCs/>
          <w:color w:val="000000"/>
          <w:lang w:val="en-US" w:eastAsia="en-US" w:bidi="en-US"/>
        </w:rPr>
        <w:t xml:space="preserve">), bem como as exceções expressamente previstas na lista da referida LC 116/2003. </w:t>
      </w:r>
    </w:p>
  </w:comment>
  <w:comment w:id="13" w:author="Autor" w:date="0-00-00T00:00:00Z" w:initials="A">
    <w:p>
      <w:r>
        <w:rPr>
          <w:rFonts w:ascii="Liberation Serif" w:hAnsi="Liberation Serif" w:eastAsia="Segoe UI"/>
          <w:b/>
          <w:bCs/>
          <w:i/>
          <w:iCs/>
          <w:color w:val="000000"/>
          <w:lang w:val="en-US" w:eastAsia="en-US" w:bidi="en-US"/>
        </w:rPr>
        <w:t xml:space="preserve">Nota Explicativa 1: </w:t>
      </w:r>
      <w:r>
        <w:rPr>
          <w:rFonts w:ascii="Liberation Serif" w:hAnsi="Liberation Serif" w:eastAsia="Segoe UI"/>
          <w:i/>
          <w:iCs/>
          <w:color w:val="000000"/>
          <w:lang w:val="en-US" w:eastAsia="en-US" w:bidi="en-US"/>
        </w:rPr>
        <w:t xml:space="preserve">As cláusulas 10.1 a 10.12 são necessárias para cumprimento </w:t>
      </w:r>
      <w:r>
        <w:rPr>
          <w:rFonts w:ascii="Liberation Serif" w:hAnsi="Liberation Serif" w:eastAsia="Segoe UI"/>
          <w:lang w:val="en-US" w:eastAsia="en-US" w:bidi="en-US"/>
        </w:rPr>
        <w:t>da Lei nº 13.709, de 14 de agosto de 2018 (LGPD</w:t>
      </w:r>
      <w:r>
        <w:rPr>
          <w:rFonts w:ascii="Liberation Serif" w:hAnsi="Liberation Serif" w:eastAsia="Segoe UI"/>
          <w:i/>
          <w:iCs/>
          <w:color w:val="000000"/>
          <w:lang w:val="en-US" w:eastAsia="en-US" w:bidi="en-US"/>
        </w:rPr>
        <w:t>), caso a contratação envolva, de qualquer forma, o tratamento de dados pessoais, devendo ser incluída e ajustada nessa hipótese.</w:t>
      </w:r>
    </w:p>
    <w:p>
      <w:r>
        <w:rPr>
          <w:rFonts w:ascii="Liberation Serif" w:hAnsi="Liberation Serif" w:eastAsia="Segoe UI"/>
          <w:b/>
          <w:bCs/>
          <w:i/>
          <w:iCs/>
          <w:color w:val="000000"/>
          <w:lang w:val="en-US" w:eastAsia="en-US" w:bidi="en-US"/>
        </w:rPr>
        <w:t xml:space="preserve">Nota Explicativa 2: </w:t>
      </w:r>
      <w:r>
        <w:rPr>
          <w:rFonts w:ascii="Liberation Serif" w:hAnsi="Liberation Serif" w:eastAsia="Segoe UI"/>
          <w:i/>
          <w:iCs/>
          <w:color w:val="000000"/>
          <w:lang w:val="en-US" w:eastAsia="en-US" w:bidi="en-US"/>
        </w:rPr>
        <w:t>Caso o objeto do contrato envolva, ainda que indiretamente, o acesso ou o tratamento de dados pessoais, é possível que a Administração estabeleça modelagem contratual por meio da qual seja imposto ao Contratado o dever de disponibilizar à Administração a possibilidade de acesso direto a esses dados, o que deve se dar com todas as cautelas cabíveis em relação ao tema.</w:t>
      </w:r>
    </w:p>
    <w:p>
      <w:r>
        <w:rPr>
          <w:rFonts w:ascii="Liberation Serif" w:hAnsi="Liberation Serif" w:eastAsia="Segoe UI"/>
          <w:i/>
          <w:iCs/>
          <w:color w:val="000000"/>
          <w:lang w:val="en-US" w:eastAsia="en-US" w:bidi="en-US"/>
        </w:rPr>
        <w:t>Vale lembrar que eventual requerimento administrativo do titular dos dados será direcionado à Administração, sendo certo que comandos oriundos de Autoridade Regulatória ou do Poder Judiciário serão igualmente direcionados à Administração, inclusive com risco de responsabilização objetiva. Por isso, em situações em que for justificável, fica a recomendação para que a Administração crie condições para que possa atender tempestivamente o requerimento do titular dos dados ou eventual comando regulatório ou judicial. Tudo isso para que a Administração tenha condições de atender o requerimento ou comando tempestivamente, sem depender exclusivamente do Contratado para tanto.</w:t>
      </w:r>
    </w:p>
    <w:p>
      <w:r>
        <w:rPr>
          <w:rFonts w:ascii="Liberation Serif" w:hAnsi="Liberation Serif" w:eastAsia="Segoe UI"/>
          <w:i/>
          <w:iCs/>
          <w:color w:val="000000"/>
          <w:lang w:val="en-US" w:eastAsia="en-US" w:bidi="en-US"/>
        </w:rPr>
        <w:t>O tema deve ser avaliado pela Administração com base nos riscos da contratação em relação aos dados pessoais eventualmente envolvidos.</w:t>
      </w:r>
    </w:p>
  </w:comment>
  <w:comment w:id="14"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Conforme PARECER n. 00004/2022/CNMLC/CGU/AGU, é possível também a exigência de declaração, firmada por representante da empresa, de que seus empregados estão capacitados e/ou firmaram termo de responsabilidade de cumprimento da LGPD. Ademais, em situações específicas, é possível exigir tal providência de cada empregado. Incumbe ao Contratante avaliar a necessidade de medida dessa natureza. </w:t>
      </w:r>
    </w:p>
  </w:comment>
  <w:comment w:id="15"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Se o Contratante entender oportuno, é possível especificar, nesta cláusula, rotinas ou diligências mais adequadas ao objeto contratual respectivo. </w:t>
      </w:r>
    </w:p>
  </w:comment>
  <w:comment w:id="16" w:author="Autor" w:date="0-00-00T00:00:00Z" w:initials="A">
    <w:p>
      <w:r>
        <w:rPr>
          <w:rFonts w:ascii="Liberation Serif" w:hAnsi="Liberation Serif" w:eastAsia="Segoe UI"/>
          <w:b/>
          <w:bCs/>
          <w:i/>
          <w:iCs/>
          <w:color w:val="000000"/>
          <w:lang w:val="en-US" w:eastAsia="en-US" w:bidi="en-US"/>
        </w:rPr>
        <w:t>Nota Explicativa 1</w:t>
      </w:r>
      <w:r>
        <w:rPr>
          <w:rFonts w:ascii="Liberation Serif" w:hAnsi="Liberation Serif" w:eastAsia="Segoe UI"/>
          <w:i/>
          <w:iCs/>
          <w:color w:val="000000"/>
          <w:lang w:val="en-US" w:eastAsia="en-US" w:bidi="en-US"/>
        </w:rPr>
        <w:t xml:space="preserve">: Recomenda-se avaliar e, se for o caso, incluir disposição sobre transferência internacional de dados, estabelecendo alguma rotina para sua eventual realização. Trata-se de questão específica para contratos que envolvam o tratamento de dados no seu objeto, não sendo medida necessária para contratos em geral. </w:t>
      </w:r>
    </w:p>
    <w:p>
      <w:r>
        <w:rPr>
          <w:rFonts w:ascii="Liberation Serif" w:hAnsi="Liberation Serif" w:eastAsia="Segoe UI"/>
          <w:b/>
          <w:bCs/>
          <w:i/>
          <w:iCs/>
          <w:color w:val="000000"/>
          <w:lang w:val="en-US" w:eastAsia="en-US" w:bidi="en-US"/>
        </w:rPr>
        <w:t>Nota explicativa 2:</w:t>
      </w:r>
      <w:r>
        <w:rPr>
          <w:rFonts w:ascii="Liberation Serif" w:hAnsi="Liberation Serif" w:eastAsia="Segoe UI"/>
          <w:i/>
          <w:iCs/>
          <w:color w:val="000000"/>
          <w:lang w:val="en-US" w:eastAsia="en-US" w:bidi="en-US"/>
        </w:rPr>
        <w:t xml:space="preserve"> Todas as disposições da presente cláusula são meramente indicativas. Pode ser necessário que se suprimam algumas das obrigações ou se arrolem outras, conforme as peculiaridades do órgão e as especificações do serviço a ser executado.</w:t>
      </w:r>
    </w:p>
  </w:comment>
  <w:comment w:id="18" w:author="Autor" w:date="0-00-00T00:00:00Z" w:initials="A">
    <w:p>
      <w:r>
        <w:rPr>
          <w:rFonts w:ascii="Liberation Serif" w:hAnsi="Liberation Serif" w:eastAsia="Segoe UI"/>
          <w:b/>
          <w:i/>
          <w:lang w:val="en-US" w:eastAsia="en-US" w:bidi="en-US"/>
        </w:rPr>
        <w:t>Nota Explicativa</w:t>
      </w:r>
      <w:r>
        <w:rPr>
          <w:rFonts w:ascii="Liberation Serif" w:hAnsi="Liberation Serif" w:eastAsia="Segoe UI"/>
          <w:i/>
          <w:lang w:val="en-US" w:eastAsia="en-US" w:bidi="en-US"/>
        </w:rPr>
        <w:t xml:space="preserve">: As disposições a seguir decorrem do art. 96 e seguintes da Lei nº 14.133, de 2021, bem como dos dispositivos cabíveis da Instrução Normativa SEGES/MP nº 5 de 26 de maio de 2017, cuja aplicação aos processos de licitação de serviços de que dispõe a Lei n.º 14.133, de 2021, foi autorizada pela Instrução Normativa SEGES/ME nº 98, de 26 de dezembro de 2022. </w:t>
      </w:r>
    </w:p>
  </w:comment>
  <w:comment w:id="17" w:author="Autor" w:date="0-00-00T00:00:00Z" w:initials="A">
    <w:p>
      <w:r>
        <w:rPr>
          <w:rFonts w:ascii="Liberation Serif" w:hAnsi="Liberation Serif" w:eastAsia="Segoe UI"/>
          <w:b/>
          <w:i/>
          <w:lang w:val="en-US" w:eastAsia="en-US" w:bidi="en-US"/>
        </w:rPr>
        <w:t>Nota explicativa:</w:t>
      </w:r>
      <w:r>
        <w:rPr>
          <w:rFonts w:ascii="Liberation Serif" w:hAnsi="Liberation Serif" w:eastAsia="Segoe UI"/>
          <w:i/>
          <w:lang w:val="en-US" w:eastAsia="en-US" w:bidi="en-US"/>
        </w:rPr>
        <w:t xml:space="preserve"> A garantia é obrigatória para os contratos que envolvam a execução de serviços continuados com dedicação exclusiva de mão de obra, nos termos do item 3 do Anexo VII-F da Instrução Normativa SEGES/MP n.º 05/2017, aplicável na espécie por força da Instrução Normativa SEGES/ME nº 98, de 26 de dezembro de 2022.</w:t>
      </w:r>
    </w:p>
  </w:comment>
  <w:comment w:id="19" w:author="Autor" w:date="0-00-00T00:00:00Z" w:initials="A">
    <w:p>
      <w:r>
        <w:rPr>
          <w:rFonts w:ascii="Liberation Serif" w:hAnsi="Liberation Serif" w:eastAsia="Segoe UI"/>
          <w:b/>
          <w:bCs/>
          <w:i/>
          <w:iCs/>
          <w:lang w:val="en-US" w:eastAsia="en-US" w:bidi="en-US"/>
        </w:rPr>
        <w:t>Nota Explicativa 1:</w:t>
      </w:r>
      <w:r>
        <w:rPr>
          <w:rFonts w:ascii="Liberation Serif" w:hAnsi="Liberation Serif" w:eastAsia="Segoe UI"/>
          <w:i/>
          <w:iCs/>
          <w:lang w:val="en-US" w:eastAsia="en-US" w:bidi="en-US"/>
        </w:rPr>
        <w:t xml:space="preserve"> O adjudicatário poderá ofertar garantia de execução em momento anterior ou posterior à assinatura do contrato, a depender da modalidade eleita. Por conta disso, foram previstas redações alternativas para a disposição que inaugura a cláusula da garantia, contemplando as situações possíveis. Somente após a adjudicação do objeto é que será definido o momento de apresentação da garantia, por ser uma opção do licitante.</w:t>
      </w:r>
    </w:p>
    <w:p>
      <w:r>
        <w:rPr>
          <w:rFonts w:ascii="Liberation Serif" w:hAnsi="Liberation Serif" w:eastAsia="Segoe UI"/>
          <w:lang w:val="en-US" w:eastAsia="en-US" w:bidi="en-US"/>
        </w:rPr>
      </w:r>
    </w:p>
    <w:p>
      <w:r>
        <w:rPr>
          <w:rFonts w:ascii="Liberation Serif" w:hAnsi="Liberation Serif" w:eastAsia="Segoe UI"/>
          <w:b/>
          <w:bCs/>
          <w:i/>
          <w:iCs/>
          <w:lang w:val="en-US" w:eastAsia="en-US" w:bidi="en-US"/>
        </w:rPr>
        <w:t>Nota explicativa 2:</w:t>
      </w:r>
      <w:r>
        <w:rPr>
          <w:rFonts w:ascii="Liberation Serif" w:hAnsi="Liberation Serif" w:eastAsia="Segoe UI"/>
          <w:i/>
          <w:iCs/>
          <w:lang w:val="en-US" w:eastAsia="en-US" w:bidi="en-US"/>
        </w:rPr>
        <w:t xml:space="preserve"> Quando o adjudicatário optar pela oferta de seguro-garantia, deverá fazê-lo </w:t>
      </w:r>
      <w:r>
        <w:rPr>
          <w:rFonts w:ascii="Liberation Serif" w:hAnsi="Liberation Serif" w:eastAsia="Segoe UI"/>
          <w:b/>
          <w:bCs/>
          <w:i/>
          <w:iCs/>
          <w:lang w:val="en-US" w:eastAsia="en-US" w:bidi="en-US"/>
        </w:rPr>
        <w:t>previamente</w:t>
      </w:r>
      <w:r>
        <w:rPr>
          <w:rFonts w:ascii="Liberation Serif" w:hAnsi="Liberation Serif" w:eastAsia="Segoe UI"/>
          <w:i/>
          <w:iCs/>
          <w:lang w:val="en-US" w:eastAsia="en-US" w:bidi="en-US"/>
        </w:rPr>
        <w:t xml:space="preserve"> à assinatura do contrato, conforme prazo fixado no edital (no prazo mínimo de um mês), contado da data de homologação da licitação (art. 96, §3º, da Lei n.º 14.133/2021).</w:t>
      </w:r>
    </w:p>
  </w:comment>
  <w:comment w:id="20"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Disposição decorrente do </w:t>
      </w:r>
      <w:r>
        <w:rPr>
          <w:rFonts w:ascii="Liberation Serif" w:hAnsi="Liberation Serif" w:eastAsia="Segoe UI"/>
          <w:lang w:val="en-US" w:eastAsia="en-US" w:bidi="en-US"/>
        </w:rPr>
        <w:t>art. 1º, IV, do Decreto-Lei nº 1.737, de 1979</w:t>
      </w:r>
      <w:r>
        <w:rPr>
          <w:rFonts w:ascii="Liberation Serif" w:hAnsi="Liberation Serif" w:eastAsia="Segoe UI"/>
          <w:i/>
          <w:iCs/>
          <w:color w:val="000000"/>
          <w:lang w:val="en-US" w:eastAsia="en-US" w:bidi="en-US"/>
        </w:rPr>
        <w:t>.</w:t>
      </w:r>
    </w:p>
  </w:comment>
  <w:comment w:id="21"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w:t>
      </w:r>
      <w:r>
        <w:rPr>
          <w:rFonts w:ascii="Liberation Serif" w:hAnsi="Liberation Serif" w:eastAsia="Segoe UI"/>
          <w:lang w:val="en-US" w:eastAsia="en-US" w:bidi="en-US"/>
        </w:rPr>
        <w:t>O art. 156, §3º, da Lei nº 14.133, de 2021</w:t>
      </w:r>
      <w:r>
        <w:rPr>
          <w:rFonts w:ascii="Liberation Serif" w:hAnsi="Liberation Serif" w:eastAsia="Segoe UI"/>
          <w:i/>
          <w:iCs/>
          <w:color w:val="000000"/>
          <w:lang w:val="en-US" w:eastAsia="en-US" w:bidi="en-US"/>
        </w:rPr>
        <w:t xml:space="preserve">, esclarece que “a multa não poderá ser inferior a 0,5% (cinco décimos por cento) nem superior a 30% (trinta por cento) do valor do contrato licitado ou celebrado com contratação direta e será aplicada ao responsável por qualquer das infrações administrativas previstas no </w:t>
      </w:r>
      <w:r>
        <w:rPr>
          <w:rFonts w:ascii="Liberation Serif" w:hAnsi="Liberation Serif" w:eastAsia="Segoe UI"/>
          <w:lang w:val="en-US" w:eastAsia="en-US" w:bidi="en-US"/>
        </w:rPr>
        <w:t>art. 155 desta Lei</w:t>
      </w:r>
      <w:r>
        <w:rPr>
          <w:rFonts w:ascii="Liberation Serif" w:hAnsi="Liberation Serif" w:eastAsia="Segoe UI"/>
          <w:i/>
          <w:iCs/>
          <w:color w:val="000000"/>
          <w:lang w:val="en-US" w:eastAsia="en-US" w:bidi="en-US"/>
        </w:rPr>
        <w:t xml:space="preserve">”. </w:t>
      </w:r>
    </w:p>
  </w:comment>
  <w:comment w:id="22" w:author="Autor" w:date="0-00-00T00:00:00Z" w:initials="A">
    <w:p>
      <w:r>
        <w:rPr>
          <w:rFonts w:ascii="Liberation Serif" w:hAnsi="Liberation Serif" w:eastAsia="Segoe UI"/>
          <w:b/>
          <w:bCs/>
          <w:i/>
          <w:iCs/>
          <w:color w:val="000000"/>
          <w:lang w:val="en-US" w:eastAsia="en-US" w:bidi="en-US"/>
        </w:rPr>
        <w:t>Nota Explicativa :</w:t>
      </w:r>
      <w:r>
        <w:rPr>
          <w:rFonts w:ascii="Liberation Serif" w:hAnsi="Liberation Serif" w:eastAsia="Segoe UI"/>
          <w:i/>
          <w:iCs/>
          <w:color w:val="000000"/>
          <w:lang w:val="en-US" w:eastAsia="en-US" w:bidi="en-US"/>
        </w:rPr>
        <w:t xml:space="preserve"> A </w:t>
      </w:r>
      <w:r>
        <w:rPr>
          <w:rFonts w:ascii="Liberation Serif" w:hAnsi="Liberation Serif" w:eastAsia="Segoe UI"/>
          <w:lang w:val="en-US" w:eastAsia="en-US" w:bidi="en-US"/>
        </w:rPr>
        <w:t>Lei nº 14.133, de 2021 (art. 162, parágrafo único)</w:t>
      </w:r>
      <w:r>
        <w:rPr>
          <w:rFonts w:ascii="Liberation Serif" w:hAnsi="Liberation Serif" w:eastAsia="Segoe UI"/>
          <w:i/>
          <w:iCs/>
          <w:color w:val="000000"/>
          <w:lang w:val="en-US" w:eastAsia="en-US" w:bidi="en-US"/>
        </w:rPr>
        <w:t>, apregoa que “a aplicação de multa de mora não impedirá que a Administração a converta em compensatória e promova a extinção unilateral do contrato com a aplicação cumulada de outras sanções”. Dessa forma, a Administração deve decidir, caso a caso, de acordo com o objeto, qual o prazo limite para a mora do contratado, a partir do qual a execução da prestação deixa de ser útil e enseja a extinção do contrato. Lembre-se que esse modelo é apenas uma sugestão; é possível escalonar as multas conforme os dias de atraso, por exemplo.</w:t>
      </w:r>
    </w:p>
  </w:comment>
  <w:comment w:id="23"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A sistemática do item 13.2 decorre do que dispõe o </w:t>
      </w:r>
      <w:r>
        <w:rPr>
          <w:rFonts w:ascii="Liberation Serif" w:hAnsi="Liberation Serif" w:eastAsia="Segoe UI"/>
          <w:lang w:val="en-US" w:eastAsia="en-US" w:bidi="en-US"/>
        </w:rPr>
        <w:t>art. 106, III e §1º, da Lei nº 14.133/21</w:t>
      </w:r>
      <w:r>
        <w:rPr>
          <w:rFonts w:ascii="Liberation Serif" w:hAnsi="Liberation Serif" w:eastAsia="Segoe UI"/>
          <w:i/>
          <w:iCs/>
          <w:color w:val="000000"/>
          <w:lang w:val="en-US" w:eastAsia="en-US" w:bidi="en-US"/>
        </w:rPr>
        <w:t xml:space="preserve">. Para a sua compreensão, vale trazer um exemplo: </w:t>
      </w:r>
    </w:p>
    <w:p>
      <w:r>
        <w:rPr>
          <w:rFonts w:ascii="Liberation Serif" w:hAnsi="Liberation Serif" w:eastAsia="Segoe UI"/>
          <w:i/>
          <w:iCs/>
          <w:color w:val="000000"/>
          <w:lang w:val="en-US" w:eastAsia="en-US" w:bidi="en-US"/>
        </w:rPr>
        <w:t xml:space="preserve">Um contrato firmado em 20 de maio de 2022 fará aniversário no dia 20 de maio dos anos subsequentes. Supondo-se que se chegue à conclusão pela descontinuidade do contrato, seja por razões orçamentárias, seja por ausência de vantagem na permanência, há três possibilidades: </w:t>
      </w:r>
    </w:p>
    <w:p>
      <w:r>
        <w:rPr>
          <w:rFonts w:ascii="Liberation Serif" w:hAnsi="Liberation Serif" w:eastAsia="Segoe UI"/>
          <w:i/>
          <w:iCs/>
          <w:color w:val="000000"/>
          <w:lang w:val="en-US" w:eastAsia="en-US" w:bidi="en-US"/>
        </w:rPr>
        <w:t xml:space="preserve">1) Se a comunicação ao contratado noticiando a extinção ocorrer até 20 de março (dois meses antes da data de aniversário), a extinção poderá ocorrer na data de aniversário, ou seja, 20 de maio. </w:t>
      </w:r>
    </w:p>
    <w:p>
      <w:r>
        <w:rPr>
          <w:rFonts w:ascii="Liberation Serif" w:hAnsi="Liberation Serif" w:eastAsia="Segoe UI"/>
          <w:i/>
          <w:iCs/>
          <w:color w:val="000000"/>
          <w:lang w:val="en-US" w:eastAsia="en-US" w:bidi="en-US"/>
        </w:rPr>
        <w:t xml:space="preserve">2) Se a comunicação se der entre 20 de março e 20 de maio (menos de dois meses), fica garantida a vigência contratual por mais dois meses (portanto, por exemplo, se a notificação for em 20 de abril, a extinção seria em 20 de junho). </w:t>
      </w:r>
    </w:p>
    <w:p>
      <w:r>
        <w:rPr>
          <w:rFonts w:ascii="Liberation Serif" w:hAnsi="Liberation Serif" w:eastAsia="Segoe UI"/>
          <w:i/>
          <w:iCs/>
          <w:color w:val="000000"/>
          <w:lang w:val="en-US" w:eastAsia="en-US" w:bidi="en-US"/>
        </w:rPr>
        <w:t>3) Por fim, uma comunicação de extinção havida após a data de aniversário só teria efeito no aniversário subsequente, salvo se houver enquadramento na situação “2”.</w:t>
      </w:r>
    </w:p>
  </w:comment>
  <w:comment w:id="24" w:author="Autor" w:date="0-00-00T00:00:00Z" w:initials="A">
    <w:p>
      <w:r>
        <w:rPr>
          <w:rFonts w:ascii="Liberation Serif" w:hAnsi="Liberation Serif" w:eastAsia="Segoe UI"/>
          <w:b/>
          <w:i/>
          <w:lang w:val="en-US" w:eastAsia="en-US" w:bidi="en-US"/>
        </w:rPr>
        <w:t>Nota Explicativa</w:t>
      </w:r>
      <w:r>
        <w:rPr>
          <w:rFonts w:ascii="Liberation Serif" w:hAnsi="Liberation Serif" w:eastAsia="Segoe UI"/>
          <w:i/>
          <w:lang w:val="en-US" w:eastAsia="en-US" w:bidi="en-US"/>
        </w:rPr>
        <w:t>: As disposições a seguir decorrem da Lei nº 14.133, de 2021, que prevê, no art. 50, a possibilidade de a Administração exigir do contratado a comprovação do cumprimento das obrigações trabalhistas e para com o FGTS em relação aos empregados diretamente envolvidos na execução do contrato, e estabelece, no art. 121, §3º, a adoção de medidas acautelatórias para evitar a responsabilidade subsidiária da Administração pelo não cumprimento de obrigações trabalhistas pelo contratado, como por exemplo, a possibilidade de a contratante efetuar depósito de valores em conta vinculada e de realizar o pagamento direto das verbas trabalhistas aos empregados alocados à execução do serviço. Decorrem, ainda, do disposto na Instrução Normativa SEGES/MP nº 5 de 26 de maio de 2017, cuja aplicação foi autorizada pela Instrução Normativa SEGES/ME nº 98, de 26 de dezembro de 2022.</w:t>
      </w:r>
    </w:p>
    <w:p>
      <w:r>
        <w:rPr>
          <w:rFonts w:ascii="Liberation Serif" w:hAnsi="Liberation Serif" w:eastAsia="Segoe UI"/>
          <w:lang w:val="en-US" w:eastAsia="en-US" w:bidi="en-US"/>
        </w:rPr>
      </w:r>
    </w:p>
    <w:p>
      <w:r>
        <w:rPr>
          <w:rFonts w:ascii="Liberation Serif" w:hAnsi="Liberation Serif" w:eastAsia="Segoe UI"/>
          <w:i/>
          <w:lang w:val="en-US" w:eastAsia="en-US" w:bidi="en-US"/>
        </w:rPr>
        <w:t>Considerando a supremacia do interesse público em face do interesse privado do contratado inadimplente quanto ao pagamento das verbas trabalhistas decorrentes da execução do contrato, bem como a inafastável preservação da integridade dos trabalhadores do fornecedor contratado, nada mais natural do que reconhecer o poder da Administração para adotar as medidas necessárias para resguardar o interesse público sob tutela, incluindo-se a extinção do contrato, no caso em que se verifique a impossibilidade de cumprimento das referidas obrigações.</w:t>
      </w:r>
    </w:p>
  </w:comment>
  <w:comment w:id="25"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 </w:t>
      </w:r>
      <w:r>
        <w:rPr>
          <w:rFonts w:ascii="Liberation Serif" w:hAnsi="Liberation Serif" w:eastAsia="Segoe UI"/>
          <w:lang w:val="en-US" w:eastAsia="en-US" w:bidi="en-US"/>
        </w:rPr>
        <w:t>art. 106, II, da Lei nº 14.133/21</w:t>
      </w:r>
      <w:r>
        <w:rPr>
          <w:rFonts w:ascii="Liberation Serif" w:hAnsi="Liberation Serif" w:eastAsia="Segoe UI"/>
          <w:i/>
          <w:iCs/>
          <w:color w:val="000000"/>
          <w:lang w:val="en-US" w:eastAsia="en-US" w:bidi="en-US"/>
        </w:rPr>
        <w:t xml:space="preserve"> prevê para contratações de serviços continuados que a “a Administração deverá atestar, no início da contratação e de cada exercício, a existência de créditos orçamentários vinculados à contratação e a vantagem em sua manutenção”. </w:t>
      </w:r>
    </w:p>
  </w:comment>
  <w:comment w:id="26"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No Acórdão n.º 2569/2018 – Plenário, o TCU concluiu que “A Administração Pública pode invocar </w:t>
      </w:r>
      <w:r>
        <w:rPr>
          <w:rFonts w:ascii="Liberation Serif" w:hAnsi="Liberation Serif" w:eastAsia="Segoe UI"/>
          <w:lang w:val="en-US" w:eastAsia="en-US" w:bidi="en-US"/>
        </w:rPr>
        <w:t>a Lei 8.078/1990 (CDC</w:t>
      </w:r>
      <w:r>
        <w:rPr>
          <w:rFonts w:ascii="Liberation Serif" w:hAnsi="Liberation Serif" w:eastAsia="Segoe UI"/>
          <w:i/>
          <w:iCs/>
          <w:color w:val="000000"/>
          <w:lang w:val="en-US" w:eastAsia="en-US" w:bidi="en-US"/>
        </w:rPr>
        <w:t xml:space="preserve">), na condição de destinatária final de bens e serviços, quando suas prerrogativas estabelecidas na legislação de licitações e contratos forem insuficientes para garantir a proteção mínima dos interesses da sociedade [...]”. (cf. Boletim de Jurisprudência n.º 244, sessões 6 e 7 de novembro de 2018). Consta do referido Acórdão, nesse sentido, que: </w:t>
      </w:r>
    </w:p>
    <w:p>
      <w:r>
        <w:rPr>
          <w:rFonts w:ascii="Liberation Serif" w:hAnsi="Liberation Serif" w:eastAsia="Segoe UI"/>
          <w:i/>
          <w:iCs/>
          <w:color w:val="000000"/>
          <w:lang w:val="en-US" w:eastAsia="en-US" w:bidi="en-US"/>
        </w:rPr>
        <w:t xml:space="preserve">“307. Como é exposto no exame técnico transcrito no relatório do TC-016.501/2003-0, acolhido integralmente pelo Relator do Acórdão 1.670/2003-Plenário, Ministro-Substituto Lincoln Magalhães da Rocha, a </w:t>
      </w:r>
      <w:r>
        <w:rPr>
          <w:rFonts w:ascii="Liberation Serif" w:hAnsi="Liberation Serif" w:eastAsia="Segoe UI"/>
          <w:lang w:val="en-US" w:eastAsia="en-US" w:bidi="en-US"/>
        </w:rPr>
        <w:t>Lei 8.078/1990</w:t>
      </w:r>
      <w:r>
        <w:rPr>
          <w:rFonts w:ascii="Liberation Serif" w:hAnsi="Liberation Serif" w:eastAsia="Segoe UI"/>
          <w:i/>
          <w:iCs/>
          <w:color w:val="000000"/>
          <w:lang w:val="en-US" w:eastAsia="en-US" w:bidi="en-US"/>
        </w:rPr>
        <w:t xml:space="preserve">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 w:id="27"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É recomendável que, além da assinatura do responsável legal do CONTRATANTE e do CONTRATADO, conste a de duas testemunhas para atender o disposto no </w:t>
      </w:r>
      <w:r>
        <w:rPr>
          <w:rFonts w:ascii="Liberation Serif" w:hAnsi="Liberation Serif" w:eastAsia="Segoe UI"/>
          <w:lang w:val="en-US" w:eastAsia="en-US" w:bidi="en-US"/>
        </w:rPr>
        <w:t>art. 784, III do CPC</w:t>
      </w:r>
      <w:r>
        <w:rPr>
          <w:rFonts w:ascii="Liberation Serif" w:hAnsi="Liberation Serif" w:eastAsia="Segoe UI"/>
          <w:i/>
          <w:iCs/>
          <w:color w:val="000000"/>
          <w:lang w:val="en-US" w:eastAsia="en-US" w:bidi="en-US"/>
        </w:rPr>
        <w:t>, que considera título executivo extrajudicial o documento particular assinado por duas testemunhas, caso não haja prejuízo à dinâmica administrativa do instrumento. Vale dispor que, embora o Contrato já seja considerado título executivo extrajudicial pelo Código de Processo Civil de 2015, a recomendação acima é uma verdadeira cautela, que visa evitar eventual discussão judicial e tornar mais eficiente a cobrança dos créditos, se eventualmente for necessária no caso concreto.</w:t>
      </w:r>
    </w:p>
    <w:p>
      <w:r>
        <w:rPr>
          <w:rFonts w:ascii="Liberation Serif" w:hAnsi="Liberation Serif" w:eastAsia="Segoe UI"/>
          <w:i/>
          <w:iCs/>
          <w:color w:val="000000"/>
          <w:lang w:val="en-US" w:eastAsia="en-US" w:bidi="en-US"/>
        </w:rPr>
        <w:t>Vide: Nota n. 00013/2021/DECOR/CGU/AGU e respectivos Despachos de Aprovação - NUP 23282.002192/2019-93.</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261175155"/>
    </w:sdtPr>
    <w:sdtContent>
      <w:p>
        <w:pPr>
          <w:pStyle w:val="Rodap"/>
          <w:rPr>
            <w:rFonts w:ascii="Arial" w:hAnsi="Arial" w:cs="Arial"/>
            <w:color w:val="548DD4" w:themeColor="text2" w:themeTint="99"/>
            <w:spacing w:val="60"/>
            <w:sz w:val="16"/>
            <w:szCs w:val="16"/>
          </w:rPr>
        </w:pPr>
        <w:r>
          <w:rPr>
            <w:rFonts w:cs="Arial" w:ascii="Arial" w:hAnsi="Arial"/>
            <w:color w:val="548DD4" w:themeColor="text2" w:themeTint="99"/>
            <w:spacing w:val="60"/>
            <w:sz w:val="22"/>
            <w:szCs w:val="22"/>
          </w:rPr>
          <w:tab/>
          <w:tab/>
        </w:r>
      </w:p>
      <w:p>
        <w:pPr>
          <w:pStyle w:val="Rodap"/>
          <w:rPr/>
        </w:pPr>
        <w:r>
          <w:rPr>
            <w:rFonts w:cs="Arial" w:ascii="Arial" w:hAnsi="Arial"/>
            <w:color w:val="7F7F7F" w:themeColor="text1" w:themeTint="80"/>
            <w:spacing w:val="60"/>
            <w:sz w:val="22"/>
            <w:szCs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sz w:val="18"/>
            <w:szCs w:val="18"/>
          </w:rPr>
          <w:fldChar w:fldCharType="begin"/>
        </w:r>
        <w:r>
          <w:rPr>
            <w:sz w:val="18"/>
            <w:szCs w:val="18"/>
            <w:rFonts w:cs="Arial" w:ascii="Arial" w:hAnsi="Arial"/>
          </w:rPr>
          <w:instrText> PAGE </w:instrText>
        </w:r>
        <w:r>
          <w:rPr>
            <w:sz w:val="18"/>
            <w:szCs w:val="18"/>
            <w:rFonts w:cs="Arial" w:ascii="Arial" w:hAnsi="Arial"/>
          </w:rPr>
          <w:fldChar w:fldCharType="separate"/>
        </w:r>
        <w:r>
          <w:rPr>
            <w:sz w:val="18"/>
            <w:szCs w:val="18"/>
            <w:rFonts w:cs="Arial" w:ascii="Arial" w:hAnsi="Arial"/>
          </w:rPr>
          <w:t>19</w:t>
        </w:r>
        <w:r>
          <w:rPr>
            <w:sz w:val="18"/>
            <w:szCs w:val="18"/>
            <w:rFonts w:cs="Arial" w:ascii="Arial" w:hAnsi="Arial"/>
          </w:rPr>
          <w:fldChar w:fldCharType="end"/>
        </w:r>
        <w:r>
          <w:rPr>
            <w:rFonts w:cs="Arial" w:ascii="Arial" w:hAnsi="Arial"/>
            <w:color w:val="595959" w:themeColor="text1" w:themeTint="a6"/>
            <w:sz w:val="18"/>
            <w:szCs w:val="18"/>
          </w:rPr>
          <w:t xml:space="preserve"> | </w:t>
        </w:r>
        <w:r>
          <w:rPr>
            <w:rFonts w:cs="Arial" w:ascii="Arial" w:hAnsi="Arial"/>
            <w:sz w:val="18"/>
            <w:szCs w:val="18"/>
          </w:rPr>
          <w:fldChar w:fldCharType="begin"/>
        </w:r>
        <w:r>
          <w:rPr>
            <w:sz w:val="18"/>
            <w:szCs w:val="18"/>
            <w:rFonts w:cs="Arial" w:ascii="Arial" w:hAnsi="Arial"/>
          </w:rPr>
          <w:instrText> NUMPAGES </w:instrText>
        </w:r>
        <w:r>
          <w:rPr>
            <w:sz w:val="18"/>
            <w:szCs w:val="18"/>
            <w:rFonts w:cs="Arial" w:ascii="Arial" w:hAnsi="Arial"/>
          </w:rPr>
          <w:fldChar w:fldCharType="separate"/>
        </w:r>
        <w:r>
          <w:rPr>
            <w:sz w:val="18"/>
            <w:szCs w:val="18"/>
            <w:rFonts w:cs="Arial" w:ascii="Arial" w:hAnsi="Arial"/>
          </w:rPr>
          <w:t>19</w:t>
        </w:r>
        <w:r>
          <w:rPr>
            <w:sz w:val="18"/>
            <w:szCs w:val="18"/>
            <w:rFonts w:cs="Arial" w:ascii="Arial" w:hAnsi="Arial"/>
          </w:rP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cs="Arial"/>
            <w:sz w:val="14"/>
            <w:szCs w:val="14"/>
          </w:rPr>
        </w:pPr>
        <w:r>
          <w:rPr>
            <w:rFonts w:cs="Arial" w:ascii="Arial" w:hAnsi="Arial"/>
            <w:sz w:val="14"/>
            <w:szCs w:val="14"/>
          </w:rPr>
          <w:t>Atualização: maio/2023</w:t>
        </w:r>
      </w:p>
      <w:p>
        <w:pPr>
          <w:pStyle w:val="Rodap"/>
          <w:rPr>
            <w:rFonts w:ascii="Arial" w:hAnsi="Arial" w:cs="Arial"/>
            <w:sz w:val="14"/>
            <w:szCs w:val="14"/>
          </w:rPr>
        </w:pPr>
        <w:r>
          <w:rPr>
            <w:rFonts w:cs="Arial" w:ascii="Arial" w:hAnsi="Arial"/>
            <w:sz w:val="14"/>
            <w:szCs w:val="14"/>
          </w:rPr>
          <w:t>Termo de contrato modelo para Pregão Eletrônico - Serviços</w:t>
        </w:r>
        <w:r>
          <w:rPr/>
          <w:t xml:space="preserve"> </w:t>
        </w:r>
        <w:r>
          <w:rPr>
            <w:rFonts w:cs="Arial" w:ascii="Arial" w:hAnsi="Arial"/>
            <w:sz w:val="14"/>
            <w:szCs w:val="14"/>
          </w:rPr>
          <w:t>contínuos com regime de dedicação exclusiva de mão de obra - Lei nº 14.133, de 2021.</w:t>
        </w:r>
      </w:p>
      <w:p>
        <w:pPr>
          <w:pStyle w:val="Rodap"/>
          <w:rPr>
            <w:rFonts w:ascii="Arial" w:hAnsi="Arial" w:cs="Arial"/>
            <w:sz w:val="14"/>
            <w:szCs w:val="14"/>
          </w:rPr>
        </w:pPr>
        <w:r>
          <w:rPr>
            <w:rFonts w:cs="Arial" w:ascii="Arial" w:hAnsi="Arial"/>
            <w:sz w:val="14"/>
            <w:szCs w:val="14"/>
          </w:rPr>
          <w:t>Aprovado pela Secretaria de Gestão e Inovação.</w:t>
        </w:r>
      </w:p>
      <w:p>
        <w:pPr>
          <w:pStyle w:val="Rodap"/>
          <w:rPr>
            <w:rFonts w:ascii="Arial" w:hAnsi="Arial" w:cs="Arial"/>
          </w:rPr>
        </w:pPr>
        <w:r>
          <w:rPr>
            <w:rFonts w:cs="Arial" w:ascii="Arial" w:hAnsi="Arial"/>
            <w:sz w:val="14"/>
            <w:szCs w:val="14"/>
          </w:rPr>
          <w:t>Identidade visual pela Secretaria de Gestão e Inovação</w:t>
        </w:r>
      </w:p>
    </w:sdtContent>
  </w:sdt>
  <w:p>
    <w:pPr>
      <w:pStyle w:val="Rodap"/>
      <w:rPr>
        <w:rFonts w:ascii="Arial" w:hAnsi="Arial" w:cs="Arial"/>
      </w:rPr>
    </w:pPr>
    <w:r>
      <w:rPr>
        <w:rFonts w:cs="Arial" w:ascii="Arial" w:hAnsi="Arial"/>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tbl>
    <w:tblPr>
      <w:tblW w:w="15112" w:type="dxa"/>
      <w:jc w:val="left"/>
      <w:tblInd w:w="3828" w:type="dxa"/>
      <w:tblCellMar>
        <w:top w:w="0" w:type="dxa"/>
        <w:left w:w="108" w:type="dxa"/>
        <w:bottom w:w="0" w:type="dxa"/>
        <w:right w:w="108" w:type="dxa"/>
      </w:tblCellMar>
      <w:tblLook w:firstRow="1" w:noVBand="1" w:lastRow="0" w:firstColumn="1" w:lastColumn="0" w:noHBand="1" w:val="06a0"/>
    </w:tblPr>
    <w:tblGrid>
      <w:gridCol w:w="9070"/>
      <w:gridCol w:w="3019"/>
      <w:gridCol w:w="3023"/>
    </w:tblGrid>
    <w:tr>
      <w:trPr>
        <w:trHeight w:val="300" w:hRule="atLeast"/>
      </w:trPr>
      <w:tc>
        <w:tcPr>
          <w:tcW w:w="9070" w:type="dxa"/>
          <w:tcBorders/>
          <w:shd w:fill="auto" w:val="clear"/>
        </w:tcPr>
        <w:p>
          <w:pPr>
            <w:pStyle w:val="Cabealho"/>
            <w:ind w:left="-115" w:hanging="0"/>
            <w:rPr>
              <w:rFonts w:ascii="Arial" w:hAnsi="Arial" w:cs="Arial"/>
              <w:sz w:val="20"/>
              <w:szCs w:val="20"/>
            </w:rPr>
          </w:pPr>
          <w:r>
            <w:rPr>
              <w:rFonts w:cs="Arial" w:ascii="Arial" w:hAnsi="Arial"/>
              <w:sz w:val="20"/>
              <w:szCs w:val="20"/>
            </w:rPr>
            <w:t>TERMO DE CONTRATO ADMINISTRATIVO Nº XXXX/XXXX</w:t>
          </w:r>
        </w:p>
        <w:p>
          <w:pPr>
            <w:pStyle w:val="Cabealho"/>
            <w:ind w:left="-115" w:hanging="0"/>
            <w:rPr/>
          </w:pPr>
          <w:r>
            <w:rPr/>
          </w:r>
        </w:p>
      </w:tc>
      <w:tc>
        <w:tcPr>
          <w:tcW w:w="3019" w:type="dxa"/>
          <w:tcBorders/>
          <w:shd w:fill="auto" w:val="clear"/>
        </w:tcPr>
        <w:p>
          <w:pPr>
            <w:pStyle w:val="Cabealho"/>
            <w:jc w:val="center"/>
            <w:rPr/>
          </w:pPr>
          <w:r>
            <w:rPr/>
          </w:r>
        </w:p>
      </w:tc>
      <w:tc>
        <w:tcPr>
          <w:tcW w:w="3023" w:type="dxa"/>
          <w:tcBorders/>
          <w:shd w:fill="auto" w:val="clear"/>
        </w:tcPr>
        <w:p>
          <w:pPr>
            <w:pStyle w:val="Cabealho"/>
            <w:ind w:right="-115" w:hanging="0"/>
            <w:jc w:val="right"/>
            <w:rPr/>
          </w:pPr>
          <w:r>
            <w:rPr/>
          </w:r>
        </w:p>
      </w:tc>
    </w:tr>
  </w:tbl>
  <w:p>
    <w:pPr>
      <w:pStyle w:val="Cabealho"/>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sz w:val="20"/>
        <w:b/>
        <w:rFonts w:ascii="Arial" w:hAnsi="Arial"/>
      </w:rPr>
    </w:lvl>
    <w:lvl w:ilvl="1">
      <w:start w:val="1"/>
      <w:numFmt w:val="decimal"/>
      <w:lvlText w:val="%1.%2."/>
      <w:lvlJc w:val="left"/>
      <w:pPr>
        <w:ind w:left="4969" w:hanging="432"/>
      </w:pPr>
      <w:rPr>
        <w:dstrike w:val="false"/>
        <w:strike w:val="false"/>
        <w:sz w:val="20"/>
        <w:i w:val="false"/>
        <w:u w:val="none"/>
        <w:b/>
        <w:szCs w:val="20"/>
        <w:rFonts w:ascii="Arial" w:hAnsi="Arial"/>
        <w:color w:val="auto"/>
      </w:rPr>
    </w:lvl>
    <w:lvl w:ilvl="2">
      <w:start w:val="1"/>
      <w:numFmt w:val="decimal"/>
      <w:lvlText w:val="%1.%2.%3."/>
      <w:lvlJc w:val="left"/>
      <w:pPr>
        <w:ind w:left="3198" w:hanging="504"/>
      </w:pPr>
      <w:rPr>
        <w:dstrike w:val="false"/>
        <w:strike w:val="false"/>
        <w:sz w:val="20"/>
        <w:i w:val="false"/>
        <w:b/>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1"/>
      <w:numFmt w:val="decimal"/>
      <w:lvlText w:val="%1."/>
      <w:lvlJc w:val="left"/>
      <w:pPr>
        <w:ind w:left="360" w:hanging="360"/>
      </w:pPr>
      <w:rPr>
        <w:b/>
      </w:rPr>
    </w:lvl>
    <w:lvl w:ilvl="1">
      <w:start w:val="1"/>
      <w:numFmt w:val="decimal"/>
      <w:lvlText w:val="%1.%2."/>
      <w:lvlJc w:val="left"/>
      <w:pPr>
        <w:ind w:left="496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4">
    <w:lvl w:ilvl="0">
      <w:start w:val="19"/>
      <w:numFmt w:val="decimal"/>
      <w:lvlText w:val="%1."/>
      <w:lvlJc w:val="left"/>
      <w:pPr>
        <w:ind w:left="360" w:hanging="360"/>
      </w:pPr>
    </w:lvl>
    <w:lvl w:ilvl="1">
      <w:start w:val="1"/>
      <w:numFmt w:val="decimal"/>
      <w:lvlText w:val="%1.%2."/>
      <w:lvlJc w:val="left"/>
      <w:pPr>
        <w:ind w:left="792" w:hanging="432"/>
      </w:pPr>
      <w:rPr>
        <w:i w:val="false"/>
        <w:b w:val="false"/>
      </w:rPr>
    </w:lvl>
    <w:lvl w:ilvl="2">
      <w:start w:val="1"/>
      <w:numFmt w:val="lowerLetter"/>
      <w:lvlText w:val="%3)"/>
      <w:lvlJc w:val="left"/>
      <w:pPr>
        <w:ind w:left="1224" w:hanging="504"/>
      </w:pPr>
      <w:rPr>
        <w:sz w:val="20"/>
        <w:b w:val="false"/>
        <w:rFonts w:ascii="Arial" w:hAnsi="Arial"/>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sz w:val="20"/>
        <w:i w:val="false"/>
        <w:rFonts w:ascii="Arial" w:hAnsi="Arial"/>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rPr>
        <w:sz w:val="20"/>
        <w:color w:val="auto"/>
      </w:rPr>
    </w:lvl>
    <w:lvl w:ilvl="8">
      <w:start w:val="1"/>
      <w:numFmt w:val="lowerRoman"/>
      <w:lvlText w:val="%9."/>
      <w:lvlJc w:val="left"/>
      <w:pPr>
        <w:ind w:left="3240" w:hanging="360"/>
      </w:pPr>
    </w:lvl>
  </w:abstractNum>
  <w:abstractNum w:abstractNumId="6">
    <w:lvl w:ilvl="0">
      <w:start w:val="1"/>
      <w:numFmt w:val="lowerLett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lvl w:ilvl="0">
      <w:start w:val="1"/>
      <w:numFmt w:val="decimal"/>
      <w:lvlText w:val="%1."/>
      <w:lvlJc w:val="left"/>
      <w:pPr>
        <w:ind w:left="360" w:hanging="360"/>
      </w:pPr>
      <w:rPr>
        <w:b/>
      </w:rPr>
    </w:lvl>
    <w:lvl w:ilvl="1">
      <w:start w:val="1"/>
      <w:numFmt w:val="lowerLetter"/>
      <w:lvlText w:val="%2)"/>
      <w:lvlJc w:val="left"/>
      <w:pPr>
        <w:ind w:left="496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w:zoom w:percent="160"/>
  <w:mirrorMargins/>
  <w:defaultTabStop w:val="720"/>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 w:cs="Times New Roman" w:eastAsiaTheme="minorEastAsia"/>
        <w:lang w:val="pt-BR" w:eastAsia="en-US" w:bidi="ar-SA"/>
      </w:rPr>
    </w:rPrDefault>
    <w:pPrDefault>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uiPriority="1"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bidi w:val="0"/>
      <w:jc w:val="left"/>
    </w:pPr>
    <w:rPr>
      <w:rFonts w:ascii="Ecofont_Spranq_eco_Sans" w:hAnsi="Ecofont_Spranq_eco_Sans" w:eastAsia="" w:cs="Tahoma" w:eastAsiaTheme="minorEastAsia"/>
      <w:color w:val="auto"/>
      <w:kern w:val="0"/>
      <w:sz w:val="24"/>
      <w:szCs w:val="24"/>
      <w:lang w:val="pt-BR" w:eastAsia="pt-BR" w:bidi="ar-SA"/>
    </w:rPr>
  </w:style>
  <w:style w:type="paragraph" w:styleId="Ttulo1">
    <w:name w:val="Heading 1"/>
    <w:basedOn w:val="Normal"/>
    <w:next w:val="Normal"/>
    <w:link w:val="Ttulo1Char"/>
    <w:uiPriority w:val="9"/>
    <w:qFormat/>
    <w:rsid w:val="007f77ad"/>
    <w:pPr>
      <w:keepNext w:val="true"/>
      <w:keepLines/>
      <w:spacing w:before="480" w:after="0"/>
      <w:outlineLvl w:val="0"/>
    </w:pPr>
    <w:rPr>
      <w:rFonts w:ascii="Calibri" w:hAnsi="Calibri" w:eastAsia="" w:cs=""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720"/>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 w:cs=""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 w:cs=""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 w:cs=""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Textodebalo"/>
    <w:uiPriority w:val="99"/>
    <w:qFormat/>
    <w:rsid w:val="003a73c1"/>
    <w:rPr>
      <w:rFonts w:ascii="Tahoma" w:hAnsi="Tahoma" w:cs="Tahoma"/>
      <w:sz w:val="16"/>
      <w:szCs w:val="16"/>
    </w:rPr>
  </w:style>
  <w:style w:type="character" w:styleId="Ttulo2Char" w:customStyle="1">
    <w:name w:val="Título 2 Char"/>
    <w:link w:val="Ttulo2"/>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Link da Internet"/>
    <w:basedOn w:val="DefaultParagraphFont"/>
    <w:uiPriority w:val="99"/>
    <w:unhideWhenUsed/>
    <w:rsid w:val="00dc41dd"/>
    <w:rPr>
      <w:color w:val="0000FF" w:themeColor="hyperlink"/>
      <w:u w:val="single"/>
    </w:rPr>
  </w:style>
  <w:style w:type="character" w:styleId="CitaoChar" w:customStyle="1">
    <w:name w:val="Citação Char"/>
    <w:link w:val="Citao"/>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link w:val="Cabealho"/>
    <w:uiPriority w:val="99"/>
    <w:qFormat/>
    <w:rsid w:val="00ca24fb"/>
    <w:rPr>
      <w:rFonts w:ascii="Ecofont_Spranq_eco_Sans" w:hAnsi="Ecofont_Spranq_eco_Sans" w:cs="Tahoma"/>
      <w:sz w:val="24"/>
      <w:szCs w:val="24"/>
    </w:rPr>
  </w:style>
  <w:style w:type="character" w:styleId="RodapChar" w:customStyle="1">
    <w:name w:val="Rodapé Char"/>
    <w:link w:val="Rodap"/>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Textodecomentrio"/>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ssuntodocomentrio"/>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link w:val="Ttulo4"/>
    <w:qFormat/>
    <w:rsid w:val="00a45a85"/>
    <w:rPr>
      <w:rFonts w:ascii="Calibri" w:hAnsi="Calibri" w:eastAsia="" w:cs=""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link w:val="Ttulo"/>
    <w:qFormat/>
    <w:rsid w:val="007f77ad"/>
    <w:rPr>
      <w:rFonts w:ascii="Calibri" w:hAnsi="Calibri" w:eastAsia="" w:cs=""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a57cff"/>
    <w:rPr>
      <w:rFonts w:ascii="Arial" w:hAnsi="Arial" w:eastAsia=""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link w:val="Ttulo1"/>
    <w:uiPriority w:val="9"/>
    <w:qFormat/>
    <w:rsid w:val="007f77ad"/>
    <w:rPr>
      <w:rFonts w:ascii="Calibri" w:hAnsi="Calibri" w:eastAsia="" w:cs=""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 w:cs=""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Corpodetexto"/>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a57cff"/>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Ênfase"/>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ListLabel12" w:customStyle="1">
    <w:name w:val="ListLabel 12"/>
    <w:qFormat/>
    <w:rsid w:val="00d30a43"/>
    <w:rPr>
      <w:b/>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FollowedHyperlink">
    <w:name w:val="FollowedHyperlink"/>
    <w:basedOn w:val="DefaultParagraphFont"/>
    <w:uiPriority w:val="99"/>
    <w:semiHidden/>
    <w:unhideWhenUsed/>
    <w:qFormat/>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a57cff"/>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PargrafodaLista"/>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link w:val="Ttulo3"/>
    <w:uiPriority w:val="9"/>
    <w:semiHidden/>
    <w:qFormat/>
    <w:rsid w:val="00cb3192"/>
    <w:rPr>
      <w:rFonts w:ascii="Calibri" w:hAnsi="Calibri" w:eastAsia="" w:cs=""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link w:val="Ttulo6"/>
    <w:uiPriority w:val="9"/>
    <w:semiHidden/>
    <w:qFormat/>
    <w:rsid w:val="00cb3192"/>
    <w:rPr>
      <w:rFonts w:ascii="Calibri" w:hAnsi="Calibri" w:eastAsia="" w:cs=""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f83142"/>
    <w:rPr>
      <w:rFonts w:ascii="Arial" w:hAnsi="Arial" w:cs="Arial"/>
      <w:i/>
      <w:iCs/>
      <w:color w:val="FF0000"/>
      <w:lang w:eastAsia="pt-BR"/>
    </w:rPr>
  </w:style>
  <w:style w:type="character" w:styleId="Nivel3Char" w:customStyle="1">
    <w:name w:val="Nivel 3 Char"/>
    <w:basedOn w:val="DefaultParagraphFont"/>
    <w:link w:val="Nivel3"/>
    <w:qFormat/>
    <w:rsid w:val="00a57cff"/>
    <w:rPr>
      <w:rFonts w:ascii="Arial" w:hAnsi="Arial" w:cs="Arial"/>
      <w:color w:val="000000"/>
      <w:lang w:eastAsia="pt-BR"/>
    </w:rPr>
  </w:style>
  <w:style w:type="character" w:styleId="Nvel3RChar" w:customStyle="1">
    <w:name w:val="Nível 3-R Char"/>
    <w:basedOn w:val="Nivel3Char"/>
    <w:link w:val="Nvel3-R"/>
    <w:qFormat/>
    <w:rsid w:val="00d42afb"/>
    <w:rPr>
      <w:rFonts w:ascii="Arial" w:hAnsi="Arial" w:cs="Arial"/>
      <w:i/>
      <w:iCs/>
      <w:color w:val="FF0000"/>
      <w:lang w:eastAsia="pt-BR"/>
    </w:rPr>
  </w:style>
  <w:style w:type="character" w:styleId="Nvel4RChar" w:customStyle="1">
    <w:name w:val="Nível 4-R Char"/>
    <w:basedOn w:val="Nivel4Char"/>
    <w:link w:val="Nvel4-R"/>
    <w:qFormat/>
    <w:rsid w:val="00a57cff"/>
    <w:rPr>
      <w:rFonts w:ascii="Arial" w:hAnsi="Arial" w:cs="Arial"/>
      <w:i/>
      <w:iCs/>
      <w:color w:val="FF0000"/>
      <w:lang w:eastAsia="pt-BR"/>
    </w:rPr>
  </w:style>
  <w:style w:type="character" w:styleId="Nvel1SemNumChar" w:customStyle="1">
    <w:name w:val="Nível 1-Sem Num Char"/>
    <w:basedOn w:val="Nivel01Char"/>
    <w:link w:val="Nvel1-SemNum"/>
    <w:qFormat/>
    <w:rsid w:val="00a57cff"/>
    <w:rPr>
      <w:rFonts w:ascii="Arial" w:hAnsi="Arial" w:eastAsia=""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UnresolvedMention">
    <w:name w:val="Unresolved Mention"/>
    <w:basedOn w:val="DefaultParagraphFont"/>
    <w:uiPriority w:val="99"/>
    <w:semiHidden/>
    <w:unhideWhenUsed/>
    <w:qFormat/>
    <w:rsid w:val="00c50d4f"/>
    <w:rPr>
      <w:color w:val="605E5C"/>
      <w:shd w:fill="E1DFDD" w:val="clear"/>
    </w:rPr>
  </w:style>
  <w:style w:type="character" w:styleId="ListLabel13">
    <w:name w:val="ListLabel 13"/>
    <w:qFormat/>
    <w:rPr>
      <w:b/>
    </w:rPr>
  </w:style>
  <w:style w:type="character" w:styleId="ListLabel14">
    <w:name w:val="ListLabel 14"/>
    <w:qFormat/>
    <w:rPr>
      <w:b/>
      <w:i w:val="false"/>
      <w:strike w:val="false"/>
      <w:dstrike w:val="false"/>
      <w:color w:val="auto"/>
      <w:sz w:val="20"/>
      <w:szCs w:val="20"/>
      <w:u w:val="none"/>
    </w:rPr>
  </w:style>
  <w:style w:type="character" w:styleId="ListLabel15">
    <w:name w:val="ListLabel 15"/>
    <w:qFormat/>
    <w:rPr>
      <w:rFonts w:cs="Arial"/>
      <w:b/>
      <w:i w:val="false"/>
      <w:strike w:val="false"/>
      <w:dstrike w:val="false"/>
      <w:color w:val="auto"/>
      <w:sz w:val="20"/>
      <w:szCs w:val="20"/>
    </w:rPr>
  </w:style>
  <w:style w:type="character" w:styleId="ListLabel16">
    <w:name w:val="ListLabel 16"/>
    <w:qFormat/>
    <w:rPr>
      <w:b w:val="false"/>
    </w:rPr>
  </w:style>
  <w:style w:type="character" w:styleId="ListLabel17">
    <w:name w:val="ListLabel 17"/>
    <w:qFormat/>
    <w:rPr>
      <w:b/>
    </w:rPr>
  </w:style>
  <w:style w:type="character" w:styleId="ListLabel18">
    <w:name w:val="ListLabel 18"/>
    <w:qFormat/>
    <w:rPr>
      <w:b w:val="false"/>
      <w:i w:val="false"/>
      <w:strike w:val="false"/>
      <w:dstrike w:val="false"/>
      <w:color w:val="auto"/>
      <w:sz w:val="20"/>
      <w:szCs w:val="20"/>
      <w:u w:val="none"/>
    </w:rPr>
  </w:style>
  <w:style w:type="character" w:styleId="ListLabel19">
    <w:name w:val="ListLabel 19"/>
    <w:qFormat/>
    <w:rPr>
      <w:rFonts w:cs="Arial"/>
      <w:b w:val="false"/>
      <w:i w:val="false"/>
      <w:strike w:val="false"/>
      <w:dstrike w:val="false"/>
      <w:color w:val="auto"/>
      <w:sz w:val="20"/>
      <w:szCs w:val="20"/>
    </w:rPr>
  </w:style>
  <w:style w:type="character" w:styleId="ListLabel20">
    <w:name w:val="ListLabel 20"/>
    <w:qFormat/>
    <w:rPr>
      <w:b/>
    </w:rPr>
  </w:style>
  <w:style w:type="character" w:styleId="ListLabel21">
    <w:name w:val="ListLabel 21"/>
    <w:qFormat/>
    <w:rPr>
      <w:b w:val="false"/>
      <w:i w:val="false"/>
      <w:strike w:val="false"/>
      <w:dstrike w:val="false"/>
      <w:color w:val="auto"/>
      <w:sz w:val="20"/>
      <w:szCs w:val="20"/>
      <w:u w:val="none"/>
    </w:rPr>
  </w:style>
  <w:style w:type="character" w:styleId="ListLabel22">
    <w:name w:val="ListLabel 22"/>
    <w:qFormat/>
    <w:rPr>
      <w:rFonts w:cs="Arial"/>
      <w:b w:val="false"/>
      <w:i w:val="false"/>
      <w:strike w:val="false"/>
      <w:dstrike w:val="false"/>
      <w:color w:val="auto"/>
      <w:sz w:val="20"/>
      <w:szCs w:val="20"/>
    </w:rPr>
  </w:style>
  <w:style w:type="character" w:styleId="ListLabel23">
    <w:name w:val="ListLabel 23"/>
    <w:qFormat/>
    <w:rPr>
      <w:b/>
    </w:rPr>
  </w:style>
  <w:style w:type="character" w:styleId="ListLabel24">
    <w:name w:val="ListLabel 24"/>
    <w:qFormat/>
    <w:rPr>
      <w:b w:val="false"/>
      <w:i w:val="false"/>
      <w:strike w:val="false"/>
      <w:dstrike w:val="false"/>
      <w:color w:val="auto"/>
      <w:sz w:val="20"/>
      <w:szCs w:val="20"/>
      <w:u w:val="none"/>
    </w:rPr>
  </w:style>
  <w:style w:type="character" w:styleId="ListLabel25">
    <w:name w:val="ListLabel 25"/>
    <w:qFormat/>
    <w:rPr>
      <w:rFonts w:cs="Arial"/>
      <w:b w:val="false"/>
      <w:i w:val="false"/>
      <w:strike w:val="false"/>
      <w:dstrike w:val="false"/>
      <w:color w:val="auto"/>
      <w:sz w:val="20"/>
      <w:szCs w:val="20"/>
    </w:rPr>
  </w:style>
  <w:style w:type="character" w:styleId="ListLabel26">
    <w:name w:val="ListLabel 26"/>
    <w:qFormat/>
    <w:rPr>
      <w:b/>
      <w:color w:val="auto"/>
    </w:rPr>
  </w:style>
  <w:style w:type="character" w:styleId="ListLabel27">
    <w:name w:val="ListLabel 27"/>
    <w:qFormat/>
    <w:rPr>
      <w:b w:val="false"/>
      <w:i w:val="false"/>
      <w:strike w:val="false"/>
      <w:dstrike w:val="false"/>
      <w:color w:val="auto"/>
      <w:u w:val="none"/>
      <w:effect w:val="none"/>
    </w:rPr>
  </w:style>
  <w:style w:type="character" w:styleId="ListLabel28">
    <w:name w:val="ListLabel 28"/>
    <w:qFormat/>
    <w:rPr>
      <w:b w:val="false"/>
      <w:i w:val="false"/>
      <w:color w:val="FF0000"/>
    </w:rPr>
  </w:style>
  <w:style w:type="character" w:styleId="ListLabel29">
    <w:name w:val="ListLabel 29"/>
    <w:qFormat/>
    <w:rPr>
      <w:b/>
      <w:color w:val="auto"/>
    </w:rPr>
  </w:style>
  <w:style w:type="character" w:styleId="ListLabel30">
    <w:name w:val="ListLabel 30"/>
    <w:qFormat/>
    <w:rPr>
      <w:b w:val="false"/>
      <w:i w:val="false"/>
      <w:strike w:val="false"/>
      <w:dstrike w:val="false"/>
      <w:color w:val="auto"/>
      <w:u w:val="none"/>
      <w:effect w:val="none"/>
    </w:rPr>
  </w:style>
  <w:style w:type="character" w:styleId="ListLabel31">
    <w:name w:val="ListLabel 31"/>
    <w:qFormat/>
    <w:rPr>
      <w:b w:val="false"/>
      <w:i w:val="false"/>
      <w:color w:val="FF0000"/>
    </w:rPr>
  </w:style>
  <w:style w:type="character" w:styleId="ListLabel32">
    <w:name w:val="ListLabel 32"/>
    <w:qFormat/>
    <w:rPr>
      <w:b/>
      <w:color w:val="auto"/>
    </w:rPr>
  </w:style>
  <w:style w:type="character" w:styleId="ListLabel33">
    <w:name w:val="ListLabel 33"/>
    <w:qFormat/>
    <w:rPr>
      <w:b w:val="false"/>
      <w:i w:val="false"/>
      <w:strike w:val="false"/>
      <w:dstrike w:val="false"/>
      <w:color w:val="auto"/>
      <w:u w:val="none"/>
      <w:effect w:val="none"/>
    </w:rPr>
  </w:style>
  <w:style w:type="character" w:styleId="ListLabel34">
    <w:name w:val="ListLabel 34"/>
    <w:qFormat/>
    <w:rPr>
      <w:b w:val="false"/>
      <w:i w:val="false"/>
      <w:color w:val="FF0000"/>
    </w:rPr>
  </w:style>
  <w:style w:type="character" w:styleId="ListLabel35">
    <w:name w:val="ListLabel 35"/>
    <w:qFormat/>
    <w:rPr>
      <w:b/>
    </w:rPr>
  </w:style>
  <w:style w:type="character" w:styleId="ListLabel36">
    <w:name w:val="ListLabel 36"/>
    <w:qFormat/>
    <w:rPr>
      <w:b w:val="false"/>
      <w:i w:val="false"/>
      <w:strike w:val="false"/>
      <w:dstrike w:val="false"/>
      <w:color w:val="auto"/>
      <w:sz w:val="20"/>
      <w:szCs w:val="20"/>
      <w:u w:val="none"/>
    </w:rPr>
  </w:style>
  <w:style w:type="character" w:styleId="ListLabel37">
    <w:name w:val="ListLabel 37"/>
    <w:qFormat/>
    <w:rPr>
      <w:rFonts w:cs="Arial"/>
      <w:b w:val="false"/>
      <w:i w:val="false"/>
      <w:strike w:val="false"/>
      <w:dstrike w:val="false"/>
      <w:color w:val="auto"/>
      <w:sz w:val="20"/>
      <w:szCs w:val="20"/>
    </w:rPr>
  </w:style>
  <w:style w:type="character" w:styleId="ListLabel38">
    <w:name w:val="ListLabel 38"/>
    <w:qFormat/>
    <w:rPr>
      <w:b/>
      <w:i w:val="false"/>
    </w:rPr>
  </w:style>
  <w:style w:type="character" w:styleId="ListLabel39">
    <w:name w:val="ListLabel 39"/>
    <w:qFormat/>
    <w:rPr>
      <w:b w:val="false"/>
      <w:i w:val="false"/>
    </w:rPr>
  </w:style>
  <w:style w:type="character" w:styleId="ListLabel40">
    <w:name w:val="ListLabel 40"/>
    <w:qFormat/>
    <w:rPr>
      <w:b/>
      <w:i w:val="false"/>
    </w:rPr>
  </w:style>
  <w:style w:type="character" w:styleId="ListLabel41">
    <w:name w:val="ListLabel 41"/>
    <w:qFormat/>
    <w:rPr>
      <w:b/>
      <w:i w:val="false"/>
    </w:rPr>
  </w:style>
  <w:style w:type="character" w:styleId="ListLabel42">
    <w:name w:val="ListLabel 42"/>
    <w:qFormat/>
    <w:rPr>
      <w:b w:val="false"/>
      <w:i w:val="false"/>
    </w:rPr>
  </w:style>
  <w:style w:type="character" w:styleId="ListLabel43">
    <w:name w:val="ListLabel 43"/>
    <w:qFormat/>
    <w:rPr>
      <w:rFonts w:ascii="Arial" w:hAnsi="Arial"/>
      <w:b w:val="false"/>
      <w:sz w:val="20"/>
    </w:rPr>
  </w:style>
  <w:style w:type="character" w:styleId="ListLabel44">
    <w:name w:val="ListLabel 44"/>
    <w:qFormat/>
    <w:rPr>
      <w:b w:val="false"/>
      <w:i w:val="false"/>
    </w:rPr>
  </w:style>
  <w:style w:type="character" w:styleId="ListLabel45">
    <w:name w:val="ListLabel 45"/>
    <w:qFormat/>
    <w:rPr>
      <w:b w:val="false"/>
    </w:rPr>
  </w:style>
  <w:style w:type="character" w:styleId="ListLabel46">
    <w:name w:val="ListLabel 46"/>
    <w:qFormat/>
    <w:rPr>
      <w:rFonts w:ascii="Arial" w:hAnsi="Arial"/>
      <w:i w:val="false"/>
      <w:sz w:val="20"/>
    </w:rPr>
  </w:style>
  <w:style w:type="character" w:styleId="ListLabel47">
    <w:name w:val="ListLabel 47"/>
    <w:qFormat/>
    <w:rPr>
      <w:rFonts w:ascii="Arial" w:hAnsi="Arial"/>
      <w:color w:val="auto"/>
      <w:sz w:val="20"/>
    </w:rPr>
  </w:style>
  <w:style w:type="character" w:styleId="ListLabel48">
    <w:name w:val="ListLabel 48"/>
    <w:qFormat/>
    <w:rPr>
      <w:i w:val="false"/>
    </w:rPr>
  </w:style>
  <w:style w:type="character" w:styleId="ListLabel49">
    <w:name w:val="ListLabel 49"/>
    <w:qFormat/>
    <w:rPr>
      <w:color w:val="auto"/>
    </w:rPr>
  </w:style>
  <w:style w:type="character" w:styleId="ListLabel50">
    <w:name w:val="ListLabel 50"/>
    <w:qFormat/>
    <w:rPr>
      <w:b/>
    </w:rPr>
  </w:style>
  <w:style w:type="character" w:styleId="ListLabel51">
    <w:name w:val="ListLabel 51"/>
    <w:qFormat/>
    <w:rPr>
      <w:b w:val="false"/>
      <w:i w:val="false"/>
      <w:strike w:val="false"/>
      <w:dstrike w:val="false"/>
      <w:color w:val="auto"/>
      <w:sz w:val="20"/>
      <w:szCs w:val="20"/>
      <w:u w:val="none"/>
    </w:rPr>
  </w:style>
  <w:style w:type="character" w:styleId="ListLabel52">
    <w:name w:val="ListLabel 52"/>
    <w:qFormat/>
    <w:rPr>
      <w:rFonts w:cs="Arial"/>
      <w:b w:val="false"/>
      <w:i w:val="false"/>
      <w:strike w:val="false"/>
      <w:dstrike w:val="false"/>
      <w:color w:val="auto"/>
      <w:sz w:val="20"/>
      <w:szCs w:val="20"/>
    </w:rPr>
  </w:style>
  <w:style w:type="character" w:styleId="ListLabel53">
    <w:name w:val="ListLabel 53"/>
    <w:qFormat/>
    <w:rPr>
      <w:b/>
      <w:i w:val="false"/>
    </w:rPr>
  </w:style>
  <w:style w:type="character" w:styleId="ListLabel54">
    <w:name w:val="ListLabel 54"/>
    <w:qFormat/>
    <w:rPr>
      <w:b w:val="false"/>
      <w:i w:val="false"/>
      <w:color w:val="auto"/>
      <w:sz w:val="20"/>
      <w:szCs w:val="20"/>
    </w:rPr>
  </w:style>
  <w:style w:type="character" w:styleId="ListLabel55">
    <w:name w:val="ListLabel 55"/>
    <w:qFormat/>
    <w:rPr>
      <w:b w:val="false"/>
      <w:i w:val="false"/>
      <w:color w:val="auto"/>
      <w:sz w:val="20"/>
      <w:szCs w:val="20"/>
    </w:rPr>
  </w:style>
  <w:style w:type="character" w:styleId="ListLabel56">
    <w:name w:val="ListLabel 56"/>
    <w:qFormat/>
    <w:rPr>
      <w:b w:val="false"/>
      <w:i w:val="false"/>
    </w:rPr>
  </w:style>
  <w:style w:type="character" w:styleId="ListLabel57">
    <w:name w:val="ListLabel 57"/>
    <w:qFormat/>
    <w:rPr>
      <w:b/>
      <w:i w:val="false"/>
    </w:rPr>
  </w:style>
  <w:style w:type="character" w:styleId="ListLabel58">
    <w:name w:val="ListLabel 58"/>
    <w:qFormat/>
    <w:rPr>
      <w:b/>
    </w:rPr>
  </w:style>
  <w:style w:type="character" w:styleId="ListLabel59">
    <w:name w:val="ListLabel 59"/>
    <w:qFormat/>
    <w:rPr>
      <w:b w:val="false"/>
      <w:i w:val="false"/>
      <w:strike w:val="false"/>
      <w:dstrike w:val="false"/>
      <w:color w:val="auto"/>
      <w:sz w:val="20"/>
      <w:szCs w:val="20"/>
      <w:u w:val="none"/>
    </w:rPr>
  </w:style>
  <w:style w:type="character" w:styleId="ListLabel60">
    <w:name w:val="ListLabel 60"/>
    <w:qFormat/>
    <w:rPr>
      <w:rFonts w:cs="Arial"/>
      <w:b w:val="false"/>
      <w:i w:val="false"/>
      <w:strike w:val="false"/>
      <w:dstrike w:val="false"/>
      <w:color w:val="auto"/>
      <w:sz w:val="20"/>
      <w:szCs w:val="20"/>
    </w:rPr>
  </w:style>
  <w:style w:type="character" w:styleId="ListLabel61">
    <w:name w:val="ListLabel 61"/>
    <w:qFormat/>
    <w:rPr>
      <w:b/>
    </w:rPr>
  </w:style>
  <w:style w:type="character" w:styleId="ListLabel62">
    <w:name w:val="ListLabel 62"/>
    <w:qFormat/>
    <w:rPr>
      <w:b w:val="false"/>
      <w:i w:val="false"/>
      <w:strike w:val="false"/>
      <w:dstrike w:val="false"/>
      <w:color w:val="auto"/>
      <w:sz w:val="20"/>
      <w:szCs w:val="20"/>
      <w:u w:val="none"/>
    </w:rPr>
  </w:style>
  <w:style w:type="character" w:styleId="ListLabel63">
    <w:name w:val="ListLabel 63"/>
    <w:qFormat/>
    <w:rPr>
      <w:rFonts w:cs="Arial"/>
      <w:b w:val="false"/>
      <w:i w:val="false"/>
      <w:strike w:val="false"/>
      <w:dstrike w:val="false"/>
      <w:color w:val="auto"/>
      <w:sz w:val="20"/>
      <w:szCs w:val="20"/>
    </w:rPr>
  </w:style>
  <w:style w:type="character" w:styleId="ListLabel64">
    <w:name w:val="ListLabel 64"/>
    <w:qFormat/>
    <w:rPr>
      <w:b/>
    </w:rPr>
  </w:style>
  <w:style w:type="character" w:styleId="ListLabel65">
    <w:name w:val="ListLabel 65"/>
    <w:qFormat/>
    <w:rPr>
      <w:b w:val="false"/>
      <w:i w:val="false"/>
      <w:strike w:val="false"/>
      <w:dstrike w:val="false"/>
      <w:color w:val="auto"/>
      <w:sz w:val="20"/>
      <w:szCs w:val="20"/>
      <w:u w:val="none"/>
    </w:rPr>
  </w:style>
  <w:style w:type="character" w:styleId="ListLabel66">
    <w:name w:val="ListLabel 66"/>
    <w:qFormat/>
    <w:rPr>
      <w:rFonts w:cs="Arial"/>
      <w:b w:val="false"/>
      <w:i w:val="false"/>
      <w:strike w:val="false"/>
      <w:dstrike w:val="false"/>
      <w:color w:val="auto"/>
      <w:sz w:val="20"/>
      <w:szCs w:val="20"/>
    </w:rPr>
  </w:style>
  <w:style w:type="character" w:styleId="ListLabel67">
    <w:name w:val="ListLabel 67"/>
    <w:qFormat/>
    <w:rPr>
      <w:b/>
    </w:rPr>
  </w:style>
  <w:style w:type="character" w:styleId="ListLabel68">
    <w:name w:val="ListLabel 68"/>
    <w:qFormat/>
    <w:rPr>
      <w:b w:val="false"/>
      <w:i w:val="false"/>
      <w:strike w:val="false"/>
      <w:dstrike w:val="false"/>
      <w:color w:val="auto"/>
      <w:sz w:val="20"/>
      <w:szCs w:val="20"/>
      <w:u w:val="none"/>
    </w:rPr>
  </w:style>
  <w:style w:type="character" w:styleId="ListLabel69">
    <w:name w:val="ListLabel 69"/>
    <w:qFormat/>
    <w:rPr>
      <w:rFonts w:cs="Arial"/>
      <w:b w:val="false"/>
      <w:i w:val="false"/>
      <w:strike w:val="false"/>
      <w:dstrike w:val="false"/>
      <w:color w:val="auto"/>
      <w:sz w:val="20"/>
      <w:szCs w:val="20"/>
    </w:rPr>
  </w:style>
  <w:style w:type="character" w:styleId="ListLabel70">
    <w:name w:val="ListLabel 70"/>
    <w:qFormat/>
    <w:rPr>
      <w:b/>
    </w:rPr>
  </w:style>
  <w:style w:type="character" w:styleId="ListLabel71">
    <w:name w:val="ListLabel 71"/>
    <w:qFormat/>
    <w:rPr>
      <w:b w:val="false"/>
      <w:i w:val="false"/>
      <w:strike w:val="false"/>
      <w:dstrike w:val="false"/>
      <w:color w:val="auto"/>
      <w:sz w:val="20"/>
      <w:szCs w:val="20"/>
      <w:u w:val="none"/>
    </w:rPr>
  </w:style>
  <w:style w:type="character" w:styleId="ListLabel72">
    <w:name w:val="ListLabel 72"/>
    <w:qFormat/>
    <w:rPr>
      <w:rFonts w:cs="Arial"/>
      <w:b w:val="false"/>
      <w:i w:val="false"/>
      <w:strike w:val="false"/>
      <w:dstrike w:val="false"/>
      <w:color w:val="auto"/>
      <w:sz w:val="20"/>
      <w:szCs w:val="20"/>
    </w:rPr>
  </w:style>
  <w:style w:type="character" w:styleId="ListLabel73">
    <w:name w:val="ListLabel 73"/>
    <w:qFormat/>
    <w:rPr>
      <w:b/>
    </w:rPr>
  </w:style>
  <w:style w:type="character" w:styleId="ListLabel74">
    <w:name w:val="ListLabel 74"/>
    <w:qFormat/>
    <w:rPr>
      <w:b w:val="false"/>
      <w:i w:val="false"/>
      <w:strike w:val="false"/>
      <w:dstrike w:val="false"/>
      <w:color w:val="auto"/>
      <w:sz w:val="20"/>
      <w:szCs w:val="20"/>
      <w:u w:val="none"/>
    </w:rPr>
  </w:style>
  <w:style w:type="character" w:styleId="ListLabel75">
    <w:name w:val="ListLabel 75"/>
    <w:qFormat/>
    <w:rPr>
      <w:rFonts w:cs="Arial"/>
      <w:b w:val="false"/>
      <w:i w:val="false"/>
      <w:strike w:val="false"/>
      <w:dstrike w:val="false"/>
      <w:color w:val="auto"/>
      <w:sz w:val="20"/>
      <w:szCs w:val="20"/>
    </w:rPr>
  </w:style>
  <w:style w:type="character" w:styleId="ListLabel76">
    <w:name w:val="ListLabel 76"/>
    <w:qFormat/>
    <w:rPr>
      <w:b/>
    </w:rPr>
  </w:style>
  <w:style w:type="character" w:styleId="ListLabel77">
    <w:name w:val="ListLabel 77"/>
    <w:qFormat/>
    <w:rPr>
      <w:b w:val="false"/>
      <w:i w:val="false"/>
      <w:strike w:val="false"/>
      <w:dstrike w:val="false"/>
      <w:color w:val="auto"/>
      <w:sz w:val="20"/>
      <w:szCs w:val="20"/>
      <w:u w:val="none"/>
    </w:rPr>
  </w:style>
  <w:style w:type="character" w:styleId="ListLabel78">
    <w:name w:val="ListLabel 78"/>
    <w:qFormat/>
    <w:rPr>
      <w:rFonts w:cs="Arial"/>
      <w:b w:val="false"/>
      <w:i w:val="false"/>
      <w:strike w:val="false"/>
      <w:dstrike w:val="false"/>
      <w:color w:val="auto"/>
      <w:sz w:val="20"/>
      <w:szCs w:val="20"/>
    </w:rPr>
  </w:style>
  <w:style w:type="character" w:styleId="ListLabel79">
    <w:name w:val="ListLabel 79"/>
    <w:qFormat/>
    <w:rPr>
      <w:b/>
    </w:rPr>
  </w:style>
  <w:style w:type="character" w:styleId="ListLabel80">
    <w:name w:val="ListLabel 80"/>
    <w:qFormat/>
    <w:rPr>
      <w:b w:val="false"/>
      <w:i w:val="false"/>
      <w:strike w:val="false"/>
      <w:dstrike w:val="false"/>
      <w:color w:val="auto"/>
      <w:sz w:val="20"/>
      <w:szCs w:val="20"/>
      <w:u w:val="none"/>
    </w:rPr>
  </w:style>
  <w:style w:type="character" w:styleId="ListLabel81">
    <w:name w:val="ListLabel 81"/>
    <w:qFormat/>
    <w:rPr>
      <w:rFonts w:cs="Arial"/>
      <w:b w:val="false"/>
      <w:i w:val="false"/>
      <w:strike w:val="false"/>
      <w:dstrike w:val="false"/>
      <w:color w:val="auto"/>
      <w:sz w:val="20"/>
      <w:szCs w:val="20"/>
    </w:rPr>
  </w:style>
  <w:style w:type="character" w:styleId="ListLabel82">
    <w:name w:val="ListLabel 82"/>
    <w:qFormat/>
    <w:rPr>
      <w:b/>
    </w:rPr>
  </w:style>
  <w:style w:type="character" w:styleId="ListLabel83">
    <w:name w:val="ListLabel 83"/>
    <w:qFormat/>
    <w:rPr>
      <w:b w:val="false"/>
      <w:i w:val="false"/>
      <w:strike w:val="false"/>
      <w:dstrike w:val="false"/>
      <w:color w:val="auto"/>
      <w:sz w:val="20"/>
      <w:szCs w:val="20"/>
      <w:u w:val="none"/>
    </w:rPr>
  </w:style>
  <w:style w:type="character" w:styleId="ListLabel84">
    <w:name w:val="ListLabel 84"/>
    <w:qFormat/>
    <w:rPr>
      <w:rFonts w:cs="Arial"/>
      <w:b w:val="false"/>
      <w:i w:val="false"/>
      <w:strike w:val="false"/>
      <w:dstrike w:val="false"/>
      <w:color w:val="auto"/>
      <w:sz w:val="20"/>
      <w:szCs w:val="20"/>
    </w:rPr>
  </w:style>
  <w:style w:type="character" w:styleId="ListLabel85">
    <w:name w:val="ListLabel 85"/>
    <w:qFormat/>
    <w:rPr>
      <w:b/>
    </w:rPr>
  </w:style>
  <w:style w:type="character" w:styleId="ListLabel86">
    <w:name w:val="ListLabel 86"/>
    <w:qFormat/>
    <w:rPr>
      <w:b w:val="false"/>
      <w:i w:val="false"/>
      <w:strike w:val="false"/>
      <w:dstrike w:val="false"/>
      <w:color w:val="auto"/>
      <w:sz w:val="20"/>
      <w:szCs w:val="20"/>
      <w:u w:val="none"/>
    </w:rPr>
  </w:style>
  <w:style w:type="character" w:styleId="ListLabel87">
    <w:name w:val="ListLabel 87"/>
    <w:qFormat/>
    <w:rPr>
      <w:rFonts w:cs="Arial"/>
      <w:b w:val="false"/>
      <w:i w:val="false"/>
      <w:strike w:val="false"/>
      <w:dstrike w:val="false"/>
      <w:color w:val="auto"/>
      <w:sz w:val="20"/>
      <w:szCs w:val="20"/>
    </w:rPr>
  </w:style>
  <w:style w:type="character" w:styleId="ListLabel88">
    <w:name w:val="ListLabel 88"/>
    <w:qFormat/>
    <w:rPr>
      <w:b/>
    </w:rPr>
  </w:style>
  <w:style w:type="character" w:styleId="ListLabel89">
    <w:name w:val="ListLabel 89"/>
    <w:qFormat/>
    <w:rPr>
      <w:b w:val="false"/>
      <w:i w:val="false"/>
      <w:strike w:val="false"/>
      <w:dstrike w:val="false"/>
      <w:color w:val="auto"/>
      <w:sz w:val="20"/>
      <w:szCs w:val="20"/>
      <w:u w:val="none"/>
    </w:rPr>
  </w:style>
  <w:style w:type="character" w:styleId="ListLabel90">
    <w:name w:val="ListLabel 90"/>
    <w:qFormat/>
    <w:rPr>
      <w:rFonts w:cs="Arial"/>
      <w:b w:val="false"/>
      <w:i w:val="false"/>
      <w:strike w:val="false"/>
      <w:dstrike w:val="false"/>
      <w:color w:val="auto"/>
      <w:sz w:val="20"/>
      <w:szCs w:val="20"/>
    </w:rPr>
  </w:style>
  <w:style w:type="character" w:styleId="ListLabel91">
    <w:name w:val="ListLabel 91"/>
    <w:qFormat/>
    <w:rPr>
      <w:b/>
    </w:rPr>
  </w:style>
  <w:style w:type="character" w:styleId="ListLabel92">
    <w:name w:val="ListLabel 92"/>
    <w:qFormat/>
    <w:rPr>
      <w:b w:val="false"/>
      <w:i w:val="false"/>
      <w:strike w:val="false"/>
      <w:dstrike w:val="false"/>
      <w:color w:val="auto"/>
      <w:sz w:val="20"/>
      <w:szCs w:val="20"/>
      <w:u w:val="none"/>
    </w:rPr>
  </w:style>
  <w:style w:type="character" w:styleId="ListLabel93">
    <w:name w:val="ListLabel 93"/>
    <w:qFormat/>
    <w:rPr>
      <w:rFonts w:cs="Arial"/>
      <w:b w:val="false"/>
      <w:i w:val="false"/>
      <w:strike w:val="false"/>
      <w:dstrike w:val="false"/>
      <w:color w:val="auto"/>
      <w:sz w:val="20"/>
      <w:szCs w:val="20"/>
    </w:rPr>
  </w:style>
  <w:style w:type="character" w:styleId="ListLabel94">
    <w:name w:val="ListLabel 94"/>
    <w:qFormat/>
    <w:rPr>
      <w:b/>
    </w:rPr>
  </w:style>
  <w:style w:type="character" w:styleId="ListLabel95">
    <w:name w:val="ListLabel 95"/>
    <w:qFormat/>
    <w:rPr>
      <w:b w:val="false"/>
      <w:i w:val="false"/>
      <w:strike w:val="false"/>
      <w:dstrike w:val="false"/>
      <w:color w:val="auto"/>
      <w:sz w:val="20"/>
      <w:szCs w:val="20"/>
      <w:u w:val="none"/>
    </w:rPr>
  </w:style>
  <w:style w:type="character" w:styleId="ListLabel96">
    <w:name w:val="ListLabel 96"/>
    <w:qFormat/>
    <w:rPr>
      <w:rFonts w:cs="Arial"/>
      <w:b w:val="false"/>
      <w:i w:val="false"/>
      <w:strike w:val="false"/>
      <w:dstrike w:val="false"/>
      <w:color w:val="auto"/>
      <w:sz w:val="20"/>
      <w:szCs w:val="20"/>
    </w:rPr>
  </w:style>
  <w:style w:type="character" w:styleId="ListLabel97">
    <w:name w:val="ListLabel 97"/>
    <w:qFormat/>
    <w:rPr>
      <w:b/>
    </w:rPr>
  </w:style>
  <w:style w:type="character" w:styleId="ListLabel98">
    <w:name w:val="ListLabel 98"/>
    <w:qFormat/>
    <w:rPr>
      <w:b w:val="false"/>
      <w:i w:val="false"/>
      <w:strike w:val="false"/>
      <w:dstrike w:val="false"/>
      <w:color w:val="auto"/>
      <w:sz w:val="20"/>
      <w:szCs w:val="20"/>
      <w:u w:val="none"/>
    </w:rPr>
  </w:style>
  <w:style w:type="character" w:styleId="ListLabel99">
    <w:name w:val="ListLabel 99"/>
    <w:qFormat/>
    <w:rPr>
      <w:rFonts w:cs="Arial"/>
      <w:b w:val="false"/>
      <w:i w:val="false"/>
      <w:strike w:val="false"/>
      <w:dstrike w:val="false"/>
      <w:color w:val="auto"/>
      <w:sz w:val="20"/>
      <w:szCs w:val="20"/>
    </w:rPr>
  </w:style>
  <w:style w:type="character" w:styleId="ListLabel100">
    <w:name w:val="ListLabel 100"/>
    <w:qFormat/>
    <w:rPr>
      <w:b/>
      <w:i w:val="false"/>
    </w:rPr>
  </w:style>
  <w:style w:type="character" w:styleId="ListLabel101">
    <w:name w:val="ListLabel 101"/>
    <w:qFormat/>
    <w:rPr>
      <w:b w:val="false"/>
      <w:i w:val="false"/>
      <w:color w:val="auto"/>
    </w:rPr>
  </w:style>
  <w:style w:type="character" w:styleId="ListLabel102">
    <w:name w:val="ListLabel 102"/>
    <w:qFormat/>
    <w:rPr>
      <w:b w:val="false"/>
      <w:i w:val="false"/>
      <w:color w:val="auto"/>
      <w:sz w:val="20"/>
      <w:szCs w:val="20"/>
    </w:rPr>
  </w:style>
  <w:style w:type="character" w:styleId="ListLabel103">
    <w:name w:val="ListLabel 103"/>
    <w:qFormat/>
    <w:rPr>
      <w:rFonts w:cs="Arial"/>
      <w:b w:val="false"/>
      <w:bCs/>
      <w:i w:val="false"/>
    </w:rPr>
  </w:style>
  <w:style w:type="character" w:styleId="ListLabel104">
    <w:name w:val="ListLabel 104"/>
    <w:qFormat/>
    <w:rPr>
      <w:b/>
      <w:i w:val="false"/>
    </w:rPr>
  </w:style>
  <w:style w:type="character" w:styleId="ListLabel105">
    <w:name w:val="ListLabel 105"/>
    <w:qFormat/>
    <w:rPr>
      <w:b/>
    </w:rPr>
  </w:style>
  <w:style w:type="character" w:styleId="ListLabel106">
    <w:name w:val="ListLabel 106"/>
    <w:qFormat/>
    <w:rPr>
      <w:b w:val="false"/>
      <w:i w:val="false"/>
      <w:strike w:val="false"/>
      <w:dstrike w:val="false"/>
      <w:color w:val="auto"/>
      <w:sz w:val="20"/>
      <w:szCs w:val="20"/>
      <w:u w:val="none"/>
    </w:rPr>
  </w:style>
  <w:style w:type="character" w:styleId="ListLabel107">
    <w:name w:val="ListLabel 107"/>
    <w:qFormat/>
    <w:rPr>
      <w:rFonts w:cs="Arial"/>
      <w:b w:val="false"/>
      <w:i w:val="false"/>
      <w:strike w:val="false"/>
      <w:dstrike w:val="false"/>
      <w:color w:val="auto"/>
      <w:sz w:val="20"/>
      <w:szCs w:val="20"/>
    </w:rPr>
  </w:style>
  <w:style w:type="character" w:styleId="ListLabel108">
    <w:name w:val="ListLabel 108"/>
    <w:qFormat/>
    <w:rPr>
      <w:b/>
    </w:rPr>
  </w:style>
  <w:style w:type="character" w:styleId="ListLabel109">
    <w:name w:val="ListLabel 109"/>
    <w:qFormat/>
    <w:rPr>
      <w:b w:val="false"/>
      <w:i w:val="false"/>
      <w:strike w:val="false"/>
      <w:dstrike w:val="false"/>
      <w:color w:val="auto"/>
      <w:sz w:val="20"/>
      <w:szCs w:val="20"/>
      <w:u w:val="none"/>
    </w:rPr>
  </w:style>
  <w:style w:type="character" w:styleId="ListLabel110">
    <w:name w:val="ListLabel 110"/>
    <w:qFormat/>
    <w:rPr>
      <w:rFonts w:cs="Arial"/>
      <w:b w:val="false"/>
      <w:i w:val="false"/>
      <w:strike w:val="false"/>
      <w:dstrike w:val="false"/>
      <w:color w:val="auto"/>
      <w:sz w:val="20"/>
      <w:szCs w:val="20"/>
    </w:rPr>
  </w:style>
  <w:style w:type="character" w:styleId="ListLabel111">
    <w:name w:val="ListLabel 111"/>
    <w:qFormat/>
    <w:rPr>
      <w:b/>
    </w:rPr>
  </w:style>
  <w:style w:type="character" w:styleId="ListLabel112">
    <w:name w:val="ListLabel 112"/>
    <w:qFormat/>
    <w:rPr>
      <w:b w:val="false"/>
      <w:i w:val="false"/>
      <w:strike w:val="false"/>
      <w:dstrike w:val="false"/>
      <w:color w:val="auto"/>
      <w:sz w:val="20"/>
      <w:szCs w:val="20"/>
      <w:u w:val="none"/>
    </w:rPr>
  </w:style>
  <w:style w:type="character" w:styleId="ListLabel113">
    <w:name w:val="ListLabel 113"/>
    <w:qFormat/>
    <w:rPr>
      <w:rFonts w:cs="Arial"/>
      <w:b w:val="false"/>
      <w:i w:val="false"/>
      <w:strike w:val="false"/>
      <w:dstrike w:val="false"/>
      <w:color w:val="auto"/>
      <w:sz w:val="20"/>
      <w:szCs w:val="20"/>
    </w:rPr>
  </w:style>
  <w:style w:type="character" w:styleId="ListLabel114">
    <w:name w:val="ListLabel 114"/>
    <w:qFormat/>
    <w:rPr>
      <w:b/>
    </w:rPr>
  </w:style>
  <w:style w:type="character" w:styleId="ListLabel115">
    <w:name w:val="ListLabel 115"/>
    <w:qFormat/>
    <w:rPr>
      <w:b w:val="false"/>
      <w:i w:val="false"/>
      <w:strike w:val="false"/>
      <w:dstrike w:val="false"/>
      <w:color w:val="auto"/>
      <w:sz w:val="20"/>
      <w:szCs w:val="20"/>
      <w:u w:val="none"/>
    </w:rPr>
  </w:style>
  <w:style w:type="character" w:styleId="ListLabel116">
    <w:name w:val="ListLabel 116"/>
    <w:qFormat/>
    <w:rPr>
      <w:rFonts w:cs="Arial"/>
      <w:b w:val="false"/>
      <w:i w:val="false"/>
      <w:strike w:val="false"/>
      <w:dstrike w:val="false"/>
      <w:color w:val="auto"/>
      <w:sz w:val="20"/>
      <w:szCs w:val="20"/>
    </w:rPr>
  </w:style>
  <w:style w:type="character" w:styleId="ListLabel117">
    <w:name w:val="ListLabel 117"/>
    <w:qFormat/>
    <w:rPr>
      <w:b/>
    </w:rPr>
  </w:style>
  <w:style w:type="character" w:styleId="ListLabel118">
    <w:name w:val="ListLabel 118"/>
    <w:qFormat/>
    <w:rPr>
      <w:b w:val="false"/>
      <w:i w:val="false"/>
      <w:strike w:val="false"/>
      <w:dstrike w:val="false"/>
      <w:color w:val="auto"/>
      <w:sz w:val="20"/>
      <w:szCs w:val="20"/>
      <w:u w:val="none"/>
    </w:rPr>
  </w:style>
  <w:style w:type="character" w:styleId="ListLabel119">
    <w:name w:val="ListLabel 119"/>
    <w:qFormat/>
    <w:rPr>
      <w:rFonts w:cs="Arial"/>
      <w:b w:val="false"/>
      <w:i w:val="false"/>
      <w:strike w:val="false"/>
      <w:dstrike w:val="false"/>
      <w:color w:val="auto"/>
      <w:sz w:val="20"/>
      <w:szCs w:val="20"/>
    </w:rPr>
  </w:style>
  <w:style w:type="character" w:styleId="ListLabel120">
    <w:name w:val="ListLabel 120"/>
    <w:qFormat/>
    <w:rPr>
      <w:b/>
    </w:rPr>
  </w:style>
  <w:style w:type="character" w:styleId="ListLabel121">
    <w:name w:val="ListLabel 121"/>
    <w:qFormat/>
    <w:rPr>
      <w:b w:val="false"/>
      <w:i w:val="false"/>
      <w:strike w:val="false"/>
      <w:dstrike w:val="false"/>
      <w:color w:val="auto"/>
      <w:sz w:val="20"/>
      <w:szCs w:val="20"/>
      <w:u w:val="none"/>
    </w:rPr>
  </w:style>
  <w:style w:type="character" w:styleId="ListLabel122">
    <w:name w:val="ListLabel 122"/>
    <w:qFormat/>
    <w:rPr>
      <w:rFonts w:cs="Arial"/>
      <w:b w:val="false"/>
      <w:i w:val="false"/>
      <w:strike w:val="false"/>
      <w:dstrike w:val="false"/>
      <w:color w:val="auto"/>
      <w:sz w:val="20"/>
      <w:szCs w:val="20"/>
    </w:rPr>
  </w:style>
  <w:style w:type="character" w:styleId="ListLabel123">
    <w:name w:val="ListLabel 123"/>
    <w:qFormat/>
    <w:rPr>
      <w:b/>
    </w:rPr>
  </w:style>
  <w:style w:type="character" w:styleId="ListLabel124">
    <w:name w:val="ListLabel 124"/>
    <w:qFormat/>
    <w:rPr>
      <w:b w:val="false"/>
      <w:i w:val="false"/>
      <w:strike w:val="false"/>
      <w:dstrike w:val="false"/>
      <w:color w:val="auto"/>
      <w:sz w:val="20"/>
      <w:szCs w:val="20"/>
      <w:u w:val="none"/>
    </w:rPr>
  </w:style>
  <w:style w:type="character" w:styleId="ListLabel125">
    <w:name w:val="ListLabel 125"/>
    <w:qFormat/>
    <w:rPr>
      <w:rFonts w:cs="Arial"/>
      <w:b w:val="false"/>
      <w:i w:val="false"/>
      <w:strike w:val="false"/>
      <w:dstrike w:val="false"/>
      <w:color w:val="auto"/>
      <w:sz w:val="20"/>
      <w:szCs w:val="20"/>
    </w:rPr>
  </w:style>
  <w:style w:type="character" w:styleId="ListLabel126">
    <w:name w:val="ListLabel 126"/>
    <w:qFormat/>
    <w:rPr>
      <w:b/>
    </w:rPr>
  </w:style>
  <w:style w:type="character" w:styleId="ListLabel127">
    <w:name w:val="ListLabel 127"/>
    <w:qFormat/>
    <w:rPr>
      <w:b w:val="false"/>
      <w:i w:val="false"/>
      <w:strike w:val="false"/>
      <w:dstrike w:val="false"/>
      <w:color w:val="auto"/>
      <w:sz w:val="20"/>
      <w:szCs w:val="20"/>
      <w:u w:val="none"/>
    </w:rPr>
  </w:style>
  <w:style w:type="character" w:styleId="ListLabel128">
    <w:name w:val="ListLabel 128"/>
    <w:qFormat/>
    <w:rPr>
      <w:rFonts w:cs="Arial"/>
      <w:b w:val="false"/>
      <w:i w:val="false"/>
      <w:strike w:val="false"/>
      <w:dstrike w:val="false"/>
      <w:color w:val="auto"/>
      <w:sz w:val="20"/>
      <w:szCs w:val="20"/>
    </w:rPr>
  </w:style>
  <w:style w:type="character" w:styleId="ListLabel129">
    <w:name w:val="ListLabel 129"/>
    <w:qFormat/>
    <w:rPr>
      <w:b/>
    </w:rPr>
  </w:style>
  <w:style w:type="character" w:styleId="ListLabel130">
    <w:name w:val="ListLabel 130"/>
    <w:qFormat/>
    <w:rPr>
      <w:b w:val="false"/>
      <w:i w:val="false"/>
      <w:strike w:val="false"/>
      <w:dstrike w:val="false"/>
      <w:color w:val="auto"/>
      <w:sz w:val="20"/>
      <w:szCs w:val="20"/>
      <w:u w:val="none"/>
    </w:rPr>
  </w:style>
  <w:style w:type="character" w:styleId="ListLabel131">
    <w:name w:val="ListLabel 131"/>
    <w:qFormat/>
    <w:rPr>
      <w:rFonts w:cs="Arial"/>
      <w:b w:val="false"/>
      <w:i w:val="false"/>
      <w:strike w:val="false"/>
      <w:dstrike w:val="false"/>
      <w:color w:val="auto"/>
      <w:sz w:val="20"/>
      <w:szCs w:val="20"/>
    </w:rPr>
  </w:style>
  <w:style w:type="character" w:styleId="ListLabel132">
    <w:name w:val="ListLabel 132"/>
    <w:qFormat/>
    <w:rPr>
      <w:b/>
    </w:rPr>
  </w:style>
  <w:style w:type="character" w:styleId="ListLabel133">
    <w:name w:val="ListLabel 133"/>
    <w:qFormat/>
    <w:rPr>
      <w:b w:val="false"/>
      <w:i w:val="false"/>
      <w:strike w:val="false"/>
      <w:dstrike w:val="false"/>
      <w:color w:val="auto"/>
      <w:sz w:val="20"/>
      <w:szCs w:val="20"/>
      <w:u w:val="none"/>
    </w:rPr>
  </w:style>
  <w:style w:type="character" w:styleId="ListLabel134">
    <w:name w:val="ListLabel 134"/>
    <w:qFormat/>
    <w:rPr>
      <w:rFonts w:cs="Arial"/>
      <w:b w:val="false"/>
      <w:i w:val="false"/>
      <w:strike w:val="false"/>
      <w:dstrike w:val="false"/>
      <w:color w:val="auto"/>
      <w:sz w:val="20"/>
      <w:szCs w:val="20"/>
    </w:rPr>
  </w:style>
  <w:style w:type="character" w:styleId="ListLabel135">
    <w:name w:val="ListLabel 135"/>
    <w:qFormat/>
    <w:rPr>
      <w:b/>
    </w:rPr>
  </w:style>
  <w:style w:type="character" w:styleId="ListLabel136">
    <w:name w:val="ListLabel 136"/>
    <w:qFormat/>
    <w:rPr>
      <w:b w:val="false"/>
      <w:i w:val="false"/>
      <w:strike w:val="false"/>
      <w:dstrike w:val="false"/>
      <w:color w:val="auto"/>
      <w:sz w:val="20"/>
      <w:szCs w:val="20"/>
      <w:u w:val="none"/>
    </w:rPr>
  </w:style>
  <w:style w:type="character" w:styleId="ListLabel137">
    <w:name w:val="ListLabel 137"/>
    <w:qFormat/>
    <w:rPr>
      <w:rFonts w:cs="Arial"/>
      <w:b w:val="false"/>
      <w:i w:val="false"/>
      <w:strike w:val="false"/>
      <w:dstrike w:val="false"/>
      <w:color w:val="auto"/>
      <w:sz w:val="20"/>
      <w:szCs w:val="20"/>
    </w:rPr>
  </w:style>
  <w:style w:type="character" w:styleId="ListLabel138">
    <w:name w:val="ListLabel 138"/>
    <w:qFormat/>
    <w:rPr>
      <w:b/>
    </w:rPr>
  </w:style>
  <w:style w:type="character" w:styleId="ListLabel139">
    <w:name w:val="ListLabel 139"/>
    <w:qFormat/>
    <w:rPr>
      <w:b w:val="false"/>
      <w:i w:val="false"/>
      <w:strike w:val="false"/>
      <w:dstrike w:val="false"/>
      <w:color w:val="auto"/>
      <w:sz w:val="20"/>
      <w:szCs w:val="20"/>
      <w:u w:val="none"/>
    </w:rPr>
  </w:style>
  <w:style w:type="character" w:styleId="ListLabel140">
    <w:name w:val="ListLabel 140"/>
    <w:qFormat/>
    <w:rPr>
      <w:rFonts w:cs="Arial"/>
      <w:b w:val="false"/>
      <w:i w:val="false"/>
      <w:strike w:val="false"/>
      <w:dstrike w:val="false"/>
      <w:color w:val="auto"/>
      <w:sz w:val="20"/>
      <w:szCs w:val="20"/>
    </w:rPr>
  </w:style>
  <w:style w:type="character" w:styleId="ListLabel141">
    <w:name w:val="ListLabel 141"/>
    <w:qFormat/>
    <w:rPr>
      <w:b/>
    </w:rPr>
  </w:style>
  <w:style w:type="character" w:styleId="ListLabel142">
    <w:name w:val="ListLabel 142"/>
    <w:qFormat/>
    <w:rPr>
      <w:b w:val="false"/>
      <w:i w:val="false"/>
      <w:strike w:val="false"/>
      <w:dstrike w:val="false"/>
      <w:color w:val="auto"/>
      <w:sz w:val="20"/>
      <w:szCs w:val="20"/>
      <w:u w:val="none"/>
    </w:rPr>
  </w:style>
  <w:style w:type="character" w:styleId="ListLabel143">
    <w:name w:val="ListLabel 143"/>
    <w:qFormat/>
    <w:rPr>
      <w:rFonts w:cs="Arial"/>
      <w:b w:val="false"/>
      <w:i w:val="false"/>
      <w:strike w:val="false"/>
      <w:dstrike w:val="false"/>
      <w:color w:val="auto"/>
      <w:sz w:val="20"/>
      <w:szCs w:val="20"/>
    </w:rPr>
  </w:style>
  <w:style w:type="character" w:styleId="ListLabel144">
    <w:name w:val="ListLabel 144"/>
    <w:qFormat/>
    <w:rPr>
      <w:b/>
    </w:rPr>
  </w:style>
  <w:style w:type="character" w:styleId="ListLabel145">
    <w:name w:val="ListLabel 145"/>
    <w:qFormat/>
    <w:rPr>
      <w:b w:val="false"/>
      <w:i w:val="false"/>
      <w:strike w:val="false"/>
      <w:dstrike w:val="false"/>
      <w:color w:val="auto"/>
      <w:sz w:val="20"/>
      <w:szCs w:val="20"/>
      <w:u w:val="none"/>
    </w:rPr>
  </w:style>
  <w:style w:type="character" w:styleId="ListLabel146">
    <w:name w:val="ListLabel 146"/>
    <w:qFormat/>
    <w:rPr>
      <w:rFonts w:cs="Arial"/>
      <w:b w:val="false"/>
      <w:i w:val="false"/>
      <w:strike w:val="false"/>
      <w:dstrike w:val="false"/>
      <w:color w:val="auto"/>
      <w:sz w:val="20"/>
      <w:szCs w:val="20"/>
    </w:rPr>
  </w:style>
  <w:style w:type="character" w:styleId="ListLabel147">
    <w:name w:val="ListLabel 147"/>
    <w:qFormat/>
    <w:rPr>
      <w:b/>
      <w:i w:val="false"/>
    </w:rPr>
  </w:style>
  <w:style w:type="character" w:styleId="ListLabel148">
    <w:name w:val="ListLabel 148"/>
    <w:qFormat/>
    <w:rPr>
      <w:b w:val="false"/>
      <w:i w:val="false"/>
      <w:color w:val="auto"/>
    </w:rPr>
  </w:style>
  <w:style w:type="character" w:styleId="ListLabel149">
    <w:name w:val="ListLabel 149"/>
    <w:qFormat/>
    <w:rPr>
      <w:b w:val="false"/>
      <w:bCs/>
      <w:i w:val="false"/>
    </w:rPr>
  </w:style>
  <w:style w:type="character" w:styleId="ListLabel150">
    <w:name w:val="ListLabel 150"/>
    <w:qFormat/>
    <w:rPr>
      <w:b/>
      <w:i w:val="false"/>
    </w:rPr>
  </w:style>
  <w:style w:type="character" w:styleId="ListLabel151">
    <w:name w:val="ListLabel 151"/>
    <w:qFormat/>
    <w:rPr>
      <w:b/>
    </w:rPr>
  </w:style>
  <w:style w:type="character" w:styleId="ListLabel152">
    <w:name w:val="ListLabel 152"/>
    <w:qFormat/>
    <w:rPr>
      <w:b w:val="false"/>
      <w:i w:val="false"/>
      <w:strike w:val="false"/>
      <w:dstrike w:val="false"/>
      <w:color w:val="auto"/>
      <w:sz w:val="20"/>
      <w:szCs w:val="20"/>
      <w:u w:val="none"/>
    </w:rPr>
  </w:style>
  <w:style w:type="character" w:styleId="ListLabel153">
    <w:name w:val="ListLabel 153"/>
    <w:qFormat/>
    <w:rPr>
      <w:rFonts w:cs="Arial"/>
      <w:b w:val="false"/>
      <w:i w:val="false"/>
      <w:strike w:val="false"/>
      <w:dstrike w:val="false"/>
      <w:color w:val="auto"/>
      <w:sz w:val="20"/>
      <w:szCs w:val="20"/>
    </w:rPr>
  </w:style>
  <w:style w:type="character" w:styleId="ListLabel154">
    <w:name w:val="ListLabel 154"/>
    <w:qFormat/>
    <w:rPr>
      <w:b/>
    </w:rPr>
  </w:style>
  <w:style w:type="character" w:styleId="ListLabel155">
    <w:name w:val="ListLabel 155"/>
    <w:qFormat/>
    <w:rPr>
      <w:b w:val="false"/>
      <w:i w:val="false"/>
      <w:strike w:val="false"/>
      <w:dstrike w:val="false"/>
      <w:color w:val="auto"/>
      <w:sz w:val="20"/>
      <w:szCs w:val="20"/>
      <w:u w:val="none"/>
    </w:rPr>
  </w:style>
  <w:style w:type="character" w:styleId="ListLabel156">
    <w:name w:val="ListLabel 156"/>
    <w:qFormat/>
    <w:rPr>
      <w:rFonts w:cs="Arial"/>
      <w:b w:val="false"/>
      <w:i w:val="false"/>
      <w:strike w:val="false"/>
      <w:dstrike w:val="false"/>
      <w:color w:val="auto"/>
      <w:sz w:val="20"/>
      <w:szCs w:val="20"/>
    </w:rPr>
  </w:style>
  <w:style w:type="character" w:styleId="ListLabel157">
    <w:name w:val="ListLabel 157"/>
    <w:qFormat/>
    <w:rPr>
      <w:b/>
    </w:rPr>
  </w:style>
  <w:style w:type="character" w:styleId="ListLabel158">
    <w:name w:val="ListLabel 158"/>
    <w:qFormat/>
    <w:rPr>
      <w:b w:val="false"/>
      <w:i w:val="false"/>
      <w:strike w:val="false"/>
      <w:dstrike w:val="false"/>
      <w:color w:val="auto"/>
      <w:sz w:val="20"/>
      <w:szCs w:val="20"/>
      <w:u w:val="none"/>
    </w:rPr>
  </w:style>
  <w:style w:type="character" w:styleId="ListLabel159">
    <w:name w:val="ListLabel 159"/>
    <w:qFormat/>
    <w:rPr>
      <w:rFonts w:cs="Arial"/>
      <w:b w:val="false"/>
      <w:i w:val="false"/>
      <w:strike w:val="false"/>
      <w:dstrike w:val="false"/>
      <w:color w:val="auto"/>
      <w:sz w:val="20"/>
      <w:szCs w:val="20"/>
    </w:rPr>
  </w:style>
  <w:style w:type="character" w:styleId="ListLabel160">
    <w:name w:val="ListLabel 160"/>
    <w:qFormat/>
    <w:rPr>
      <w:b/>
    </w:rPr>
  </w:style>
  <w:style w:type="character" w:styleId="ListLabel161">
    <w:name w:val="ListLabel 161"/>
    <w:qFormat/>
    <w:rPr>
      <w:b w:val="false"/>
      <w:i w:val="false"/>
      <w:strike w:val="false"/>
      <w:dstrike w:val="false"/>
      <w:color w:val="auto"/>
      <w:sz w:val="20"/>
      <w:szCs w:val="20"/>
      <w:u w:val="none"/>
    </w:rPr>
  </w:style>
  <w:style w:type="character" w:styleId="ListLabel162">
    <w:name w:val="ListLabel 162"/>
    <w:qFormat/>
    <w:rPr>
      <w:rFonts w:cs="Arial"/>
      <w:b w:val="false"/>
      <w:i w:val="false"/>
      <w:strike w:val="false"/>
      <w:dstrike w:val="false"/>
      <w:color w:val="auto"/>
      <w:sz w:val="20"/>
      <w:szCs w:val="20"/>
    </w:rPr>
  </w:style>
  <w:style w:type="character" w:styleId="ListLabel163">
    <w:name w:val="ListLabel 163"/>
    <w:qFormat/>
    <w:rPr>
      <w:b/>
    </w:rPr>
  </w:style>
  <w:style w:type="character" w:styleId="ListLabel164">
    <w:name w:val="ListLabel 164"/>
    <w:qFormat/>
    <w:rPr>
      <w:b w:val="false"/>
      <w:i w:val="false"/>
      <w:strike w:val="false"/>
      <w:dstrike w:val="false"/>
      <w:color w:val="auto"/>
      <w:sz w:val="20"/>
      <w:szCs w:val="20"/>
      <w:u w:val="none"/>
    </w:rPr>
  </w:style>
  <w:style w:type="character" w:styleId="ListLabel165">
    <w:name w:val="ListLabel 165"/>
    <w:qFormat/>
    <w:rPr>
      <w:rFonts w:cs="Arial"/>
      <w:b w:val="false"/>
      <w:i w:val="false"/>
      <w:strike w:val="false"/>
      <w:dstrike w:val="false"/>
      <w:color w:val="auto"/>
      <w:sz w:val="20"/>
      <w:szCs w:val="20"/>
    </w:rPr>
  </w:style>
  <w:style w:type="character" w:styleId="ListLabel166">
    <w:name w:val="ListLabel 166"/>
    <w:qFormat/>
    <w:rPr>
      <w:b/>
    </w:rPr>
  </w:style>
  <w:style w:type="character" w:styleId="ListLabel167">
    <w:name w:val="ListLabel 167"/>
    <w:qFormat/>
    <w:rPr>
      <w:b w:val="false"/>
      <w:i w:val="false"/>
      <w:strike w:val="false"/>
      <w:dstrike w:val="false"/>
      <w:color w:val="auto"/>
      <w:sz w:val="20"/>
      <w:szCs w:val="20"/>
      <w:u w:val="none"/>
    </w:rPr>
  </w:style>
  <w:style w:type="character" w:styleId="ListLabel168">
    <w:name w:val="ListLabel 168"/>
    <w:qFormat/>
    <w:rPr>
      <w:rFonts w:cs="Arial"/>
      <w:b w:val="false"/>
      <w:i w:val="false"/>
      <w:strike w:val="false"/>
      <w:dstrike w:val="false"/>
      <w:color w:val="auto"/>
      <w:sz w:val="20"/>
      <w:szCs w:val="20"/>
    </w:rPr>
  </w:style>
  <w:style w:type="character" w:styleId="ListLabel169">
    <w:name w:val="ListLabel 169"/>
    <w:qFormat/>
    <w:rPr>
      <w:b/>
    </w:rPr>
  </w:style>
  <w:style w:type="character" w:styleId="ListLabel170">
    <w:name w:val="ListLabel 170"/>
    <w:qFormat/>
    <w:rPr>
      <w:b w:val="false"/>
      <w:i w:val="false"/>
      <w:strike w:val="false"/>
      <w:dstrike w:val="false"/>
      <w:color w:val="auto"/>
      <w:sz w:val="20"/>
      <w:szCs w:val="20"/>
      <w:u w:val="none"/>
    </w:rPr>
  </w:style>
  <w:style w:type="character" w:styleId="ListLabel171">
    <w:name w:val="ListLabel 171"/>
    <w:qFormat/>
    <w:rPr>
      <w:rFonts w:cs="Arial"/>
      <w:b w:val="false"/>
      <w:i w:val="false"/>
      <w:strike w:val="false"/>
      <w:dstrike w:val="false"/>
      <w:color w:val="auto"/>
      <w:sz w:val="20"/>
      <w:szCs w:val="20"/>
    </w:rPr>
  </w:style>
  <w:style w:type="character" w:styleId="ListLabel172">
    <w:name w:val="ListLabel 172"/>
    <w:qFormat/>
    <w:rPr>
      <w:i/>
      <w:color w:val="FF0000"/>
    </w:rPr>
  </w:style>
  <w:style w:type="character" w:styleId="ListLabel173">
    <w:name w:val="ListLabel 173"/>
    <w:qFormat/>
    <w:rPr>
      <w:i/>
      <w:color w:val="FF0000"/>
    </w:rPr>
  </w:style>
  <w:style w:type="character" w:styleId="ListLabel174">
    <w:name w:val="ListLabel 174"/>
    <w:qFormat/>
    <w:rPr>
      <w:i/>
      <w:color w:val="FF0000"/>
    </w:rPr>
  </w:style>
  <w:style w:type="character" w:styleId="ListLabel175">
    <w:name w:val="ListLabel 175"/>
    <w:qFormat/>
    <w:rPr>
      <w:i/>
      <w:color w:val="FF0000"/>
    </w:rPr>
  </w:style>
  <w:style w:type="character" w:styleId="ListLabel176">
    <w:name w:val="ListLabel 176"/>
    <w:qFormat/>
    <w:rPr>
      <w:i/>
      <w:color w:val="FF0000"/>
    </w:rPr>
  </w:style>
  <w:style w:type="character" w:styleId="ListLabel177">
    <w:name w:val="ListLabel 177"/>
    <w:qFormat/>
    <w:rPr>
      <w:i/>
      <w:color w:val="FF0000"/>
    </w:rPr>
  </w:style>
  <w:style w:type="character" w:styleId="ListLabel178">
    <w:name w:val="ListLabel 178"/>
    <w:qFormat/>
    <w:rPr>
      <w:i/>
      <w:color w:val="FF0000"/>
    </w:rPr>
  </w:style>
  <w:style w:type="character" w:styleId="ListLabel179">
    <w:name w:val="ListLabel 179"/>
    <w:qFormat/>
    <w:rPr>
      <w:i/>
      <w:color w:val="FF0000"/>
    </w:rPr>
  </w:style>
  <w:style w:type="character" w:styleId="ListLabel180">
    <w:name w:val="ListLabel 180"/>
    <w:qFormat/>
    <w:rPr>
      <w:i/>
      <w:color w:val="FF0000"/>
    </w:rPr>
  </w:style>
  <w:style w:type="character" w:styleId="ListLabel181">
    <w:name w:val="ListLabel 181"/>
    <w:qFormat/>
    <w:rPr>
      <w:b/>
    </w:rPr>
  </w:style>
  <w:style w:type="character" w:styleId="ListLabel182">
    <w:name w:val="ListLabel 182"/>
    <w:qFormat/>
    <w:rPr>
      <w:b w:val="false"/>
      <w:i w:val="false"/>
      <w:strike w:val="false"/>
      <w:dstrike w:val="false"/>
      <w:color w:val="auto"/>
      <w:sz w:val="20"/>
      <w:szCs w:val="20"/>
      <w:u w:val="none"/>
    </w:rPr>
  </w:style>
  <w:style w:type="character" w:styleId="ListLabel183">
    <w:name w:val="ListLabel 183"/>
    <w:qFormat/>
    <w:rPr>
      <w:rFonts w:cs="Arial"/>
      <w:b w:val="false"/>
      <w:i w:val="false"/>
      <w:strike w:val="false"/>
      <w:dstrike w:val="false"/>
      <w:color w:val="auto"/>
      <w:sz w:val="20"/>
      <w:szCs w:val="20"/>
    </w:rPr>
  </w:style>
  <w:style w:type="character" w:styleId="ListLabel184">
    <w:name w:val="ListLabel 184"/>
    <w:qFormat/>
    <w:rPr>
      <w:i/>
      <w:color w:val="auto"/>
    </w:rPr>
  </w:style>
  <w:style w:type="character" w:styleId="ListLabel185">
    <w:name w:val="ListLabel 185"/>
    <w:qFormat/>
    <w:rPr>
      <w:i w:val="false"/>
      <w:color w:val="000000"/>
    </w:rPr>
  </w:style>
  <w:style w:type="character" w:styleId="ListLabel186">
    <w:name w:val="ListLabel 186"/>
    <w:qFormat/>
    <w:rPr>
      <w:i w:val="false"/>
      <w:color w:val="000000"/>
    </w:rPr>
  </w:style>
  <w:style w:type="character" w:styleId="ListLabel187">
    <w:name w:val="ListLabel 187"/>
    <w:qFormat/>
    <w:rPr>
      <w:i w:val="false"/>
      <w:color w:val="000000"/>
    </w:rPr>
  </w:style>
  <w:style w:type="character" w:styleId="ListLabel188">
    <w:name w:val="ListLabel 188"/>
    <w:qFormat/>
    <w:rPr>
      <w:i/>
      <w:color w:val="FF0000"/>
    </w:rPr>
  </w:style>
  <w:style w:type="character" w:styleId="ListLabel189">
    <w:name w:val="ListLabel 189"/>
    <w:qFormat/>
    <w:rPr>
      <w:i/>
      <w:color w:val="FF0000"/>
    </w:rPr>
  </w:style>
  <w:style w:type="character" w:styleId="ListLabel190">
    <w:name w:val="ListLabel 190"/>
    <w:qFormat/>
    <w:rPr>
      <w:i/>
      <w:color w:val="FF0000"/>
    </w:rPr>
  </w:style>
  <w:style w:type="character" w:styleId="ListLabel191">
    <w:name w:val="ListLabel 191"/>
    <w:qFormat/>
    <w:rPr>
      <w:i/>
      <w:color w:val="FF0000"/>
    </w:rPr>
  </w:style>
  <w:style w:type="character" w:styleId="ListLabel192">
    <w:name w:val="ListLabel 192"/>
    <w:qFormat/>
    <w:rPr>
      <w:i/>
      <w:color w:val="FF0000"/>
    </w:rPr>
  </w:style>
  <w:style w:type="character" w:styleId="ListLabel193">
    <w:name w:val="ListLabel 193"/>
    <w:qFormat/>
    <w:rPr>
      <w:b/>
    </w:rPr>
  </w:style>
  <w:style w:type="character" w:styleId="ListLabel194">
    <w:name w:val="ListLabel 194"/>
    <w:qFormat/>
    <w:rPr>
      <w:b w:val="false"/>
      <w:i w:val="false"/>
      <w:strike w:val="false"/>
      <w:dstrike w:val="false"/>
      <w:color w:val="auto"/>
      <w:sz w:val="20"/>
      <w:szCs w:val="20"/>
      <w:u w:val="none"/>
    </w:rPr>
  </w:style>
  <w:style w:type="character" w:styleId="ListLabel195">
    <w:name w:val="ListLabel 195"/>
    <w:qFormat/>
    <w:rPr>
      <w:rFonts w:cs="Arial"/>
      <w:b w:val="false"/>
      <w:i w:val="false"/>
      <w:strike w:val="false"/>
      <w:dstrike w:val="false"/>
      <w:color w:val="auto"/>
      <w:sz w:val="20"/>
      <w:szCs w:val="20"/>
    </w:rPr>
  </w:style>
  <w:style w:type="character" w:styleId="ListLabel196">
    <w:name w:val="ListLabel 196"/>
    <w:qFormat/>
    <w:rPr>
      <w:b/>
    </w:rPr>
  </w:style>
  <w:style w:type="character" w:styleId="ListLabel197">
    <w:name w:val="ListLabel 197"/>
    <w:qFormat/>
    <w:rPr>
      <w:b w:val="false"/>
      <w:i w:val="false"/>
      <w:strike w:val="false"/>
      <w:dstrike w:val="false"/>
      <w:color w:val="auto"/>
      <w:sz w:val="20"/>
      <w:szCs w:val="20"/>
      <w:u w:val="none"/>
    </w:rPr>
  </w:style>
  <w:style w:type="character" w:styleId="ListLabel198">
    <w:name w:val="ListLabel 198"/>
    <w:qFormat/>
    <w:rPr>
      <w:rFonts w:cs="Arial"/>
      <w:b w:val="false"/>
      <w:i w:val="false"/>
      <w:strike w:val="false"/>
      <w:dstrike w:val="false"/>
      <w:color w:val="auto"/>
      <w:sz w:val="20"/>
      <w:szCs w:val="20"/>
    </w:rPr>
  </w:style>
  <w:style w:type="character" w:styleId="ListLabel199">
    <w:name w:val="ListLabel 199"/>
    <w:qFormat/>
    <w:rPr>
      <w:i/>
      <w:color w:val="FF0000"/>
    </w:rPr>
  </w:style>
  <w:style w:type="character" w:styleId="ListLabel200">
    <w:name w:val="ListLabel 200"/>
    <w:qFormat/>
    <w:rPr>
      <w:i w:val="false"/>
      <w:color w:val="000000"/>
    </w:rPr>
  </w:style>
  <w:style w:type="character" w:styleId="ListLabel201">
    <w:name w:val="ListLabel 201"/>
    <w:qFormat/>
    <w:rPr>
      <w:i/>
      <w:color w:val="FF0000"/>
    </w:rPr>
  </w:style>
  <w:style w:type="character" w:styleId="ListLabel202">
    <w:name w:val="ListLabel 202"/>
    <w:qFormat/>
    <w:rPr>
      <w:i/>
      <w:color w:val="FF0000"/>
    </w:rPr>
  </w:style>
  <w:style w:type="character" w:styleId="ListLabel203">
    <w:name w:val="ListLabel 203"/>
    <w:qFormat/>
    <w:rPr>
      <w:i/>
      <w:color w:val="FF0000"/>
    </w:rPr>
  </w:style>
  <w:style w:type="character" w:styleId="ListLabel204">
    <w:name w:val="ListLabel 204"/>
    <w:qFormat/>
    <w:rPr>
      <w:i/>
      <w:color w:val="FF0000"/>
    </w:rPr>
  </w:style>
  <w:style w:type="character" w:styleId="ListLabel205">
    <w:name w:val="ListLabel 205"/>
    <w:qFormat/>
    <w:rPr>
      <w:i/>
      <w:color w:val="FF0000"/>
    </w:rPr>
  </w:style>
  <w:style w:type="character" w:styleId="ListLabel206">
    <w:name w:val="ListLabel 206"/>
    <w:qFormat/>
    <w:rPr>
      <w:i/>
      <w:color w:val="FF0000"/>
    </w:rPr>
  </w:style>
  <w:style w:type="character" w:styleId="ListLabel207">
    <w:name w:val="ListLabel 207"/>
    <w:qFormat/>
    <w:rPr>
      <w:i/>
      <w:color w:val="FF0000"/>
    </w:rPr>
  </w:style>
  <w:style w:type="character" w:styleId="ListLabel208">
    <w:name w:val="ListLabel 208"/>
    <w:qFormat/>
    <w:rPr>
      <w:b/>
    </w:rPr>
  </w:style>
  <w:style w:type="character" w:styleId="ListLabel209">
    <w:name w:val="ListLabel 209"/>
    <w:qFormat/>
    <w:rPr>
      <w:b w:val="false"/>
      <w:i w:val="false"/>
      <w:strike w:val="false"/>
      <w:dstrike w:val="false"/>
      <w:color w:val="auto"/>
      <w:sz w:val="20"/>
      <w:szCs w:val="20"/>
      <w:u w:val="none"/>
    </w:rPr>
  </w:style>
  <w:style w:type="character" w:styleId="ListLabel210">
    <w:name w:val="ListLabel 210"/>
    <w:qFormat/>
    <w:rPr>
      <w:rFonts w:cs="Arial"/>
      <w:b w:val="false"/>
      <w:i w:val="false"/>
      <w:strike w:val="false"/>
      <w:dstrike w:val="false"/>
      <w:color w:val="auto"/>
      <w:sz w:val="20"/>
      <w:szCs w:val="20"/>
    </w:rPr>
  </w:style>
  <w:style w:type="character" w:styleId="ListLabel211">
    <w:name w:val="ListLabel 211"/>
    <w:qFormat/>
    <w:rPr>
      <w:i/>
      <w:color w:val="FF0000"/>
    </w:rPr>
  </w:style>
  <w:style w:type="character" w:styleId="ListLabel212">
    <w:name w:val="ListLabel 212"/>
    <w:qFormat/>
    <w:rPr>
      <w:i w:val="false"/>
      <w:color w:val="000000"/>
    </w:rPr>
  </w:style>
  <w:style w:type="character" w:styleId="ListLabel213">
    <w:name w:val="ListLabel 213"/>
    <w:qFormat/>
    <w:rPr>
      <w:i/>
      <w:color w:val="FF0000"/>
    </w:rPr>
  </w:style>
  <w:style w:type="character" w:styleId="ListLabel214">
    <w:name w:val="ListLabel 214"/>
    <w:qFormat/>
    <w:rPr>
      <w:i/>
      <w:color w:val="FF0000"/>
    </w:rPr>
  </w:style>
  <w:style w:type="character" w:styleId="ListLabel215">
    <w:name w:val="ListLabel 215"/>
    <w:qFormat/>
    <w:rPr>
      <w:i/>
      <w:color w:val="FF0000"/>
    </w:rPr>
  </w:style>
  <w:style w:type="character" w:styleId="ListLabel216">
    <w:name w:val="ListLabel 216"/>
    <w:qFormat/>
    <w:rPr>
      <w:i/>
      <w:color w:val="FF0000"/>
    </w:rPr>
  </w:style>
  <w:style w:type="character" w:styleId="ListLabel217">
    <w:name w:val="ListLabel 217"/>
    <w:qFormat/>
    <w:rPr>
      <w:i/>
      <w:color w:val="FF0000"/>
    </w:rPr>
  </w:style>
  <w:style w:type="character" w:styleId="ListLabel218">
    <w:name w:val="ListLabel 218"/>
    <w:qFormat/>
    <w:rPr>
      <w:i/>
      <w:color w:val="FF0000"/>
    </w:rPr>
  </w:style>
  <w:style w:type="character" w:styleId="ListLabel219">
    <w:name w:val="ListLabel 219"/>
    <w:qFormat/>
    <w:rPr>
      <w:i/>
      <w:color w:val="FF0000"/>
    </w:rPr>
  </w:style>
  <w:style w:type="character" w:styleId="ListLabel220">
    <w:name w:val="ListLabel 220"/>
    <w:qFormat/>
    <w:rPr>
      <w:i/>
      <w:color w:val="FF0000"/>
    </w:rPr>
  </w:style>
  <w:style w:type="character" w:styleId="ListLabel221">
    <w:name w:val="ListLabel 221"/>
    <w:qFormat/>
    <w:rPr>
      <w:i w:val="false"/>
      <w:color w:val="000000"/>
    </w:rPr>
  </w:style>
  <w:style w:type="character" w:styleId="ListLabel222">
    <w:name w:val="ListLabel 222"/>
    <w:qFormat/>
    <w:rPr>
      <w:i/>
      <w:color w:val="FF0000"/>
    </w:rPr>
  </w:style>
  <w:style w:type="character" w:styleId="ListLabel223">
    <w:name w:val="ListLabel 223"/>
    <w:qFormat/>
    <w:rPr>
      <w:i/>
      <w:color w:val="FF0000"/>
    </w:rPr>
  </w:style>
  <w:style w:type="character" w:styleId="ListLabel224">
    <w:name w:val="ListLabel 224"/>
    <w:qFormat/>
    <w:rPr>
      <w:i/>
      <w:color w:val="FF0000"/>
    </w:rPr>
  </w:style>
  <w:style w:type="character" w:styleId="ListLabel225">
    <w:name w:val="ListLabel 225"/>
    <w:qFormat/>
    <w:rPr>
      <w:i/>
      <w:color w:val="FF0000"/>
    </w:rPr>
  </w:style>
  <w:style w:type="character" w:styleId="ListLabel226">
    <w:name w:val="ListLabel 226"/>
    <w:qFormat/>
    <w:rPr>
      <w:i/>
      <w:color w:val="FF0000"/>
    </w:rPr>
  </w:style>
  <w:style w:type="character" w:styleId="ListLabel227">
    <w:name w:val="ListLabel 227"/>
    <w:qFormat/>
    <w:rPr>
      <w:i/>
      <w:color w:val="FF0000"/>
    </w:rPr>
  </w:style>
  <w:style w:type="character" w:styleId="ListLabel228">
    <w:name w:val="ListLabel 228"/>
    <w:qFormat/>
    <w:rPr>
      <w:i/>
      <w:color w:val="FF0000"/>
    </w:rPr>
  </w:style>
  <w:style w:type="character" w:styleId="ListLabel229">
    <w:name w:val="ListLabel 229"/>
    <w:qFormat/>
    <w:rPr>
      <w:b/>
    </w:rPr>
  </w:style>
  <w:style w:type="character" w:styleId="ListLabel230">
    <w:name w:val="ListLabel 230"/>
    <w:qFormat/>
    <w:rPr>
      <w:b w:val="false"/>
      <w:i w:val="false"/>
      <w:strike w:val="false"/>
      <w:dstrike w:val="false"/>
      <w:color w:val="auto"/>
      <w:sz w:val="20"/>
      <w:szCs w:val="20"/>
      <w:u w:val="none"/>
    </w:rPr>
  </w:style>
  <w:style w:type="character" w:styleId="ListLabel231">
    <w:name w:val="ListLabel 231"/>
    <w:qFormat/>
    <w:rPr>
      <w:rFonts w:cs="Arial"/>
      <w:b w:val="false"/>
      <w:i w:val="false"/>
      <w:strike w:val="false"/>
      <w:dstrike w:val="false"/>
      <w:color w:val="auto"/>
      <w:sz w:val="20"/>
      <w:szCs w:val="20"/>
    </w:rPr>
  </w:style>
  <w:style w:type="character" w:styleId="ListLabel232">
    <w:name w:val="ListLabel 232"/>
    <w:qFormat/>
    <w:rPr>
      <w:b/>
    </w:rPr>
  </w:style>
  <w:style w:type="character" w:styleId="ListLabel233">
    <w:name w:val="ListLabel 233"/>
    <w:qFormat/>
    <w:rPr>
      <w:b w:val="false"/>
      <w:i w:val="false"/>
      <w:strike w:val="false"/>
      <w:dstrike w:val="false"/>
      <w:color w:val="auto"/>
      <w:sz w:val="20"/>
      <w:szCs w:val="20"/>
      <w:u w:val="none"/>
    </w:rPr>
  </w:style>
  <w:style w:type="character" w:styleId="ListLabel234">
    <w:name w:val="ListLabel 234"/>
    <w:qFormat/>
    <w:rPr>
      <w:rFonts w:cs="Arial"/>
      <w:b w:val="false"/>
      <w:i w:val="false"/>
      <w:strike w:val="false"/>
      <w:dstrike w:val="false"/>
      <w:color w:val="auto"/>
      <w:sz w:val="20"/>
      <w:szCs w:val="20"/>
    </w:rPr>
  </w:style>
  <w:style w:type="character" w:styleId="ListLabel235">
    <w:name w:val="ListLabel 235"/>
    <w:qFormat/>
    <w:rPr>
      <w:i/>
      <w:color w:val="FF0000"/>
    </w:rPr>
  </w:style>
  <w:style w:type="character" w:styleId="ListLabel236">
    <w:name w:val="ListLabel 236"/>
    <w:qFormat/>
    <w:rPr>
      <w:i w:val="false"/>
      <w:color w:val="000000"/>
    </w:rPr>
  </w:style>
  <w:style w:type="character" w:styleId="ListLabel237">
    <w:name w:val="ListLabel 237"/>
    <w:qFormat/>
    <w:rPr>
      <w:i/>
      <w:color w:val="FF0000"/>
    </w:rPr>
  </w:style>
  <w:style w:type="character" w:styleId="ListLabel238">
    <w:name w:val="ListLabel 238"/>
    <w:qFormat/>
    <w:rPr>
      <w:i/>
      <w:color w:val="FF0000"/>
    </w:rPr>
  </w:style>
  <w:style w:type="character" w:styleId="ListLabel239">
    <w:name w:val="ListLabel 239"/>
    <w:qFormat/>
    <w:rPr>
      <w:i/>
      <w:color w:val="FF0000"/>
    </w:rPr>
  </w:style>
  <w:style w:type="character" w:styleId="ListLabel240">
    <w:name w:val="ListLabel 240"/>
    <w:qFormat/>
    <w:rPr>
      <w:i/>
      <w:color w:val="FF0000"/>
    </w:rPr>
  </w:style>
  <w:style w:type="character" w:styleId="ListLabel241">
    <w:name w:val="ListLabel 241"/>
    <w:qFormat/>
    <w:rPr>
      <w:i/>
      <w:color w:val="FF0000"/>
    </w:rPr>
  </w:style>
  <w:style w:type="character" w:styleId="ListLabel242">
    <w:name w:val="ListLabel 242"/>
    <w:qFormat/>
    <w:rPr>
      <w:i/>
      <w:color w:val="FF0000"/>
    </w:rPr>
  </w:style>
  <w:style w:type="character" w:styleId="ListLabel243">
    <w:name w:val="ListLabel 243"/>
    <w:qFormat/>
    <w:rPr>
      <w:i/>
      <w:color w:val="FF0000"/>
    </w:rPr>
  </w:style>
  <w:style w:type="character" w:styleId="ListLabel244">
    <w:name w:val="ListLabel 244"/>
    <w:qFormat/>
    <w:rPr>
      <w:i/>
      <w:color w:val="FF0000"/>
    </w:rPr>
  </w:style>
  <w:style w:type="character" w:styleId="ListLabel245">
    <w:name w:val="ListLabel 245"/>
    <w:qFormat/>
    <w:rPr>
      <w:i w:val="false"/>
      <w:color w:val="000000"/>
    </w:rPr>
  </w:style>
  <w:style w:type="character" w:styleId="ListLabel246">
    <w:name w:val="ListLabel 246"/>
    <w:qFormat/>
    <w:rPr>
      <w:i/>
      <w:color w:val="auto"/>
    </w:rPr>
  </w:style>
  <w:style w:type="character" w:styleId="ListLabel247">
    <w:name w:val="ListLabel 247"/>
    <w:qFormat/>
    <w:rPr>
      <w:i/>
      <w:color w:val="auto"/>
    </w:rPr>
  </w:style>
  <w:style w:type="character" w:styleId="ListLabel248">
    <w:name w:val="ListLabel 248"/>
    <w:qFormat/>
    <w:rPr>
      <w:i/>
      <w:color w:val="FF0000"/>
    </w:rPr>
  </w:style>
  <w:style w:type="character" w:styleId="ListLabel249">
    <w:name w:val="ListLabel 249"/>
    <w:qFormat/>
    <w:rPr>
      <w:i/>
      <w:color w:val="FF0000"/>
    </w:rPr>
  </w:style>
  <w:style w:type="character" w:styleId="ListLabel250">
    <w:name w:val="ListLabel 250"/>
    <w:qFormat/>
    <w:rPr>
      <w:i/>
      <w:color w:val="FF0000"/>
    </w:rPr>
  </w:style>
  <w:style w:type="character" w:styleId="ListLabel251">
    <w:name w:val="ListLabel 251"/>
    <w:qFormat/>
    <w:rPr>
      <w:i/>
      <w:color w:val="FF0000"/>
    </w:rPr>
  </w:style>
  <w:style w:type="character" w:styleId="ListLabel252">
    <w:name w:val="ListLabel 252"/>
    <w:qFormat/>
    <w:rPr>
      <w:i/>
      <w:color w:val="FF0000"/>
    </w:rPr>
  </w:style>
  <w:style w:type="character" w:styleId="ListLabel253">
    <w:name w:val="ListLabel 253"/>
    <w:qFormat/>
    <w:rPr>
      <w:b/>
    </w:rPr>
  </w:style>
  <w:style w:type="character" w:styleId="ListLabel254">
    <w:name w:val="ListLabel 254"/>
    <w:qFormat/>
    <w:rPr>
      <w:b w:val="false"/>
      <w:i w:val="false"/>
      <w:strike w:val="false"/>
      <w:dstrike w:val="false"/>
      <w:color w:val="auto"/>
      <w:sz w:val="20"/>
      <w:szCs w:val="20"/>
      <w:u w:val="none"/>
    </w:rPr>
  </w:style>
  <w:style w:type="character" w:styleId="ListLabel255">
    <w:name w:val="ListLabel 255"/>
    <w:qFormat/>
    <w:rPr>
      <w:rFonts w:cs="Arial"/>
      <w:b w:val="false"/>
      <w:i w:val="false"/>
      <w:strike w:val="false"/>
      <w:dstrike w:val="false"/>
      <w:color w:val="auto"/>
      <w:sz w:val="20"/>
      <w:szCs w:val="20"/>
    </w:rPr>
  </w:style>
  <w:style w:type="character" w:styleId="ListLabel256">
    <w:name w:val="ListLabel 256"/>
    <w:qFormat/>
    <w:rPr>
      <w:b/>
    </w:rPr>
  </w:style>
  <w:style w:type="character" w:styleId="ListLabel257">
    <w:name w:val="ListLabel 257"/>
    <w:qFormat/>
    <w:rPr>
      <w:b w:val="false"/>
      <w:i w:val="false"/>
      <w:strike w:val="false"/>
      <w:dstrike w:val="false"/>
      <w:color w:val="auto"/>
      <w:sz w:val="20"/>
      <w:szCs w:val="20"/>
      <w:u w:val="none"/>
    </w:rPr>
  </w:style>
  <w:style w:type="character" w:styleId="ListLabel258">
    <w:name w:val="ListLabel 258"/>
    <w:qFormat/>
    <w:rPr>
      <w:rFonts w:cs="Arial"/>
      <w:b w:val="false"/>
      <w:i w:val="false"/>
      <w:strike w:val="false"/>
      <w:dstrike w:val="false"/>
      <w:color w:val="auto"/>
      <w:sz w:val="20"/>
      <w:szCs w:val="20"/>
    </w:rPr>
  </w:style>
  <w:style w:type="character" w:styleId="ListLabel259">
    <w:name w:val="ListLabel 259"/>
    <w:qFormat/>
    <w:rPr>
      <w:b/>
    </w:rPr>
  </w:style>
  <w:style w:type="character" w:styleId="ListLabel260">
    <w:name w:val="ListLabel 260"/>
    <w:qFormat/>
    <w:rPr>
      <w:b w:val="false"/>
      <w:i w:val="false"/>
      <w:strike w:val="false"/>
      <w:dstrike w:val="false"/>
      <w:color w:val="auto"/>
      <w:sz w:val="20"/>
      <w:szCs w:val="20"/>
      <w:u w:val="none"/>
    </w:rPr>
  </w:style>
  <w:style w:type="character" w:styleId="ListLabel261">
    <w:name w:val="ListLabel 261"/>
    <w:qFormat/>
    <w:rPr>
      <w:rFonts w:cs="Arial"/>
      <w:b w:val="false"/>
      <w:i w:val="false"/>
      <w:strike w:val="false"/>
      <w:dstrike w:val="false"/>
      <w:color w:val="auto"/>
      <w:sz w:val="20"/>
      <w:szCs w:val="20"/>
    </w:rPr>
  </w:style>
  <w:style w:type="character" w:styleId="ListLabel262">
    <w:name w:val="ListLabel 262"/>
    <w:qFormat/>
    <w:rPr>
      <w:b/>
    </w:rPr>
  </w:style>
  <w:style w:type="character" w:styleId="ListLabel263">
    <w:name w:val="ListLabel 263"/>
    <w:qFormat/>
    <w:rPr>
      <w:b w:val="false"/>
      <w:i w:val="false"/>
      <w:strike w:val="false"/>
      <w:dstrike w:val="false"/>
      <w:color w:val="auto"/>
      <w:sz w:val="20"/>
      <w:szCs w:val="20"/>
      <w:u w:val="none"/>
    </w:rPr>
  </w:style>
  <w:style w:type="character" w:styleId="ListLabel264">
    <w:name w:val="ListLabel 264"/>
    <w:qFormat/>
    <w:rPr>
      <w:rFonts w:cs="Arial"/>
      <w:b w:val="false"/>
      <w:i w:val="false"/>
      <w:strike w:val="false"/>
      <w:dstrike w:val="false"/>
      <w:color w:val="auto"/>
      <w:sz w:val="20"/>
      <w:szCs w:val="20"/>
    </w:rPr>
  </w:style>
  <w:style w:type="character" w:styleId="ListLabel265">
    <w:name w:val="ListLabel 265"/>
    <w:qFormat/>
    <w:rPr>
      <w:b/>
    </w:rPr>
  </w:style>
  <w:style w:type="character" w:styleId="ListLabel266">
    <w:name w:val="ListLabel 266"/>
    <w:qFormat/>
    <w:rPr>
      <w:b w:val="false"/>
      <w:i w:val="false"/>
      <w:strike w:val="false"/>
      <w:dstrike w:val="false"/>
      <w:color w:val="auto"/>
      <w:sz w:val="20"/>
      <w:szCs w:val="20"/>
      <w:u w:val="none"/>
    </w:rPr>
  </w:style>
  <w:style w:type="character" w:styleId="ListLabel267">
    <w:name w:val="ListLabel 267"/>
    <w:qFormat/>
    <w:rPr>
      <w:rFonts w:cs="Arial"/>
      <w:b w:val="false"/>
      <w:i w:val="false"/>
      <w:strike w:val="false"/>
      <w:dstrike w:val="false"/>
      <w:color w:val="auto"/>
      <w:sz w:val="20"/>
      <w:szCs w:val="20"/>
    </w:rPr>
  </w:style>
  <w:style w:type="character" w:styleId="ListLabel268">
    <w:name w:val="ListLabel 268"/>
    <w:qFormat/>
    <w:rPr>
      <w:b/>
    </w:rPr>
  </w:style>
  <w:style w:type="character" w:styleId="ListLabel269">
    <w:name w:val="ListLabel 269"/>
    <w:qFormat/>
    <w:rPr>
      <w:b w:val="false"/>
      <w:i w:val="false"/>
      <w:strike w:val="false"/>
      <w:dstrike w:val="false"/>
      <w:color w:val="auto"/>
      <w:sz w:val="20"/>
      <w:szCs w:val="20"/>
      <w:u w:val="none"/>
    </w:rPr>
  </w:style>
  <w:style w:type="character" w:styleId="ListLabel270">
    <w:name w:val="ListLabel 270"/>
    <w:qFormat/>
    <w:rPr>
      <w:rFonts w:cs="Arial"/>
      <w:b w:val="false"/>
      <w:i w:val="false"/>
      <w:strike w:val="false"/>
      <w:dstrike w:val="false"/>
      <w:color w:val="auto"/>
      <w:sz w:val="20"/>
      <w:szCs w:val="20"/>
    </w:rPr>
  </w:style>
  <w:style w:type="character" w:styleId="ListLabel271">
    <w:name w:val="ListLabel 271"/>
    <w:qFormat/>
    <w:rPr>
      <w:b/>
    </w:rPr>
  </w:style>
  <w:style w:type="character" w:styleId="ListLabel272">
    <w:name w:val="ListLabel 272"/>
    <w:qFormat/>
    <w:rPr>
      <w:b w:val="false"/>
      <w:i w:val="false"/>
      <w:strike w:val="false"/>
      <w:dstrike w:val="false"/>
      <w:color w:val="auto"/>
      <w:sz w:val="20"/>
      <w:szCs w:val="20"/>
      <w:u w:val="none"/>
    </w:rPr>
  </w:style>
  <w:style w:type="character" w:styleId="ListLabel273">
    <w:name w:val="ListLabel 273"/>
    <w:qFormat/>
    <w:rPr>
      <w:rFonts w:cs="Arial"/>
      <w:b w:val="false"/>
      <w:i w:val="false"/>
      <w:strike w:val="false"/>
      <w:dstrike w:val="false"/>
      <w:color w:val="auto"/>
      <w:sz w:val="20"/>
      <w:szCs w:val="20"/>
    </w:rPr>
  </w:style>
  <w:style w:type="character" w:styleId="ListLabel274">
    <w:name w:val="ListLabel 274"/>
    <w:qFormat/>
    <w:rPr>
      <w:b/>
    </w:rPr>
  </w:style>
  <w:style w:type="character" w:styleId="ListLabel275">
    <w:name w:val="ListLabel 275"/>
    <w:qFormat/>
    <w:rPr>
      <w:b w:val="false"/>
      <w:i w:val="false"/>
      <w:strike w:val="false"/>
      <w:dstrike w:val="false"/>
      <w:color w:val="auto"/>
      <w:sz w:val="20"/>
      <w:szCs w:val="20"/>
      <w:u w:val="none"/>
    </w:rPr>
  </w:style>
  <w:style w:type="character" w:styleId="ListLabel276">
    <w:name w:val="ListLabel 276"/>
    <w:qFormat/>
    <w:rPr>
      <w:rFonts w:cs="Arial"/>
      <w:b w:val="false"/>
      <w:i w:val="false"/>
      <w:strike w:val="false"/>
      <w:dstrike w:val="false"/>
      <w:color w:val="auto"/>
      <w:sz w:val="20"/>
      <w:szCs w:val="20"/>
    </w:rPr>
  </w:style>
  <w:style w:type="character" w:styleId="ListLabel277">
    <w:name w:val="ListLabel 277"/>
    <w:qFormat/>
    <w:rPr>
      <w:b/>
    </w:rPr>
  </w:style>
  <w:style w:type="character" w:styleId="ListLabel278">
    <w:name w:val="ListLabel 278"/>
    <w:qFormat/>
    <w:rPr>
      <w:b w:val="false"/>
      <w:i w:val="false"/>
      <w:strike w:val="false"/>
      <w:dstrike w:val="false"/>
      <w:color w:val="auto"/>
      <w:sz w:val="20"/>
      <w:szCs w:val="20"/>
      <w:u w:val="none"/>
    </w:rPr>
  </w:style>
  <w:style w:type="character" w:styleId="ListLabel279">
    <w:name w:val="ListLabel 279"/>
    <w:qFormat/>
    <w:rPr>
      <w:rFonts w:cs="Arial"/>
      <w:b w:val="false"/>
      <w:i w:val="false"/>
      <w:strike w:val="false"/>
      <w:dstrike w:val="false"/>
      <w:color w:val="auto"/>
      <w:sz w:val="20"/>
      <w:szCs w:val="20"/>
    </w:rPr>
  </w:style>
  <w:style w:type="character" w:styleId="ListLabel280">
    <w:name w:val="ListLabel 280"/>
    <w:qFormat/>
    <w:rPr>
      <w:color w:val="auto"/>
    </w:rPr>
  </w:style>
  <w:style w:type="character" w:styleId="ListLabel281">
    <w:name w:val="ListLabel 281"/>
    <w:qFormat/>
    <w:rPr>
      <w:color w:val="auto"/>
    </w:rPr>
  </w:style>
  <w:style w:type="character" w:styleId="ListLabel282">
    <w:name w:val="ListLabel 282"/>
    <w:qFormat/>
    <w:rPr>
      <w:b w:val="false"/>
      <w:bCs w:val="false"/>
      <w:color w:val="auto"/>
    </w:rPr>
  </w:style>
  <w:style w:type="character" w:styleId="ListLabel283">
    <w:name w:val="ListLabel 283"/>
    <w:qFormat/>
    <w:rPr>
      <w:color w:val="auto"/>
    </w:rPr>
  </w:style>
  <w:style w:type="character" w:styleId="ListLabel284">
    <w:name w:val="ListLabel 284"/>
    <w:qFormat/>
    <w:rPr>
      <w:color w:val="auto"/>
    </w:rPr>
  </w:style>
  <w:style w:type="character" w:styleId="ListLabel285">
    <w:name w:val="ListLabel 285"/>
    <w:qFormat/>
    <w:rPr>
      <w:color w:val="auto"/>
    </w:rPr>
  </w:style>
  <w:style w:type="character" w:styleId="ListLabel286">
    <w:name w:val="ListLabel 286"/>
    <w:qFormat/>
    <w:rPr>
      <w:color w:val="auto"/>
    </w:rPr>
  </w:style>
  <w:style w:type="character" w:styleId="ListLabel287">
    <w:name w:val="ListLabel 287"/>
    <w:qFormat/>
    <w:rPr>
      <w:color w:val="auto"/>
    </w:rPr>
  </w:style>
  <w:style w:type="character" w:styleId="ListLabel288">
    <w:name w:val="ListLabel 288"/>
    <w:qFormat/>
    <w:rPr>
      <w:color w:val="auto"/>
    </w:rPr>
  </w:style>
  <w:style w:type="character" w:styleId="ListLabel289">
    <w:name w:val="ListLabel 289"/>
    <w:qFormat/>
    <w:rPr>
      <w:b/>
    </w:rPr>
  </w:style>
  <w:style w:type="character" w:styleId="ListLabel290">
    <w:name w:val="ListLabel 290"/>
    <w:qFormat/>
    <w:rPr>
      <w:b w:val="false"/>
      <w:i w:val="false"/>
      <w:strike w:val="false"/>
      <w:dstrike w:val="false"/>
      <w:color w:val="auto"/>
      <w:sz w:val="20"/>
      <w:szCs w:val="20"/>
      <w:u w:val="none"/>
    </w:rPr>
  </w:style>
  <w:style w:type="character" w:styleId="ListLabel291">
    <w:name w:val="ListLabel 291"/>
    <w:qFormat/>
    <w:rPr>
      <w:rFonts w:cs="Arial"/>
      <w:b w:val="false"/>
      <w:i w:val="false"/>
      <w:strike w:val="false"/>
      <w:dstrike w:val="false"/>
      <w:color w:val="auto"/>
      <w:sz w:val="20"/>
      <w:szCs w:val="20"/>
    </w:rPr>
  </w:style>
  <w:style w:type="character" w:styleId="ListLabel292">
    <w:name w:val="ListLabel 292"/>
    <w:qFormat/>
    <w:rPr>
      <w:i/>
      <w:iCs/>
    </w:rPr>
  </w:style>
  <w:style w:type="character" w:styleId="ListLabel293">
    <w:name w:val="ListLabel 293"/>
    <w:qFormat/>
    <w:rPr/>
  </w:style>
  <w:style w:type="character" w:styleId="ListLabel294">
    <w:name w:val="ListLabel 294"/>
    <w:qFormat/>
    <w:rPr>
      <w:rFonts w:ascii="Arial" w:hAnsi="Arial" w:eastAsia="Arial" w:cs="Arial"/>
      <w:sz w:val="20"/>
      <w:szCs w:val="20"/>
    </w:rPr>
  </w:style>
  <w:style w:type="character" w:styleId="ListLabel295">
    <w:name w:val="ListLabel 295"/>
    <w:qFormat/>
    <w:rPr>
      <w:rFonts w:ascii="Arial" w:hAnsi="Arial" w:eastAsia="Arial" w:cs="Arial"/>
      <w:i/>
      <w:iCs/>
      <w:sz w:val="20"/>
      <w:szCs w:val="20"/>
    </w:rPr>
  </w:style>
  <w:style w:type="character" w:styleId="ListLabel296">
    <w:name w:val="ListLabel 296"/>
    <w:qFormat/>
    <w:rPr/>
  </w:style>
  <w:style w:type="character" w:styleId="Nfaseforte">
    <w:name w:val="Ênfase forte"/>
    <w:qFormat/>
    <w:rPr>
      <w:b/>
      <w:bCs/>
    </w:rPr>
  </w:style>
  <w:style w:type="character" w:styleId="ListLabel297">
    <w:name w:val="ListLabel 297"/>
    <w:qFormat/>
    <w:rPr>
      <w:b/>
    </w:rPr>
  </w:style>
  <w:style w:type="character" w:styleId="ListLabel298">
    <w:name w:val="ListLabel 298"/>
    <w:qFormat/>
    <w:rPr>
      <w:b/>
      <w:i w:val="false"/>
      <w:strike w:val="false"/>
      <w:dstrike w:val="false"/>
      <w:color w:val="auto"/>
      <w:sz w:val="20"/>
      <w:szCs w:val="20"/>
      <w:u w:val="none"/>
    </w:rPr>
  </w:style>
  <w:style w:type="character" w:styleId="ListLabel299">
    <w:name w:val="ListLabel 299"/>
    <w:qFormat/>
    <w:rPr>
      <w:rFonts w:cs="Arial"/>
      <w:b/>
      <w:i w:val="false"/>
      <w:strike w:val="false"/>
      <w:dstrike w:val="false"/>
      <w:color w:val="auto"/>
      <w:sz w:val="20"/>
      <w:szCs w:val="20"/>
    </w:rPr>
  </w:style>
  <w:style w:type="character" w:styleId="ListLabel300">
    <w:name w:val="ListLabel 300"/>
    <w:qFormat/>
    <w:rPr>
      <w:b/>
    </w:rPr>
  </w:style>
  <w:style w:type="character" w:styleId="ListLabel301">
    <w:name w:val="ListLabel 301"/>
    <w:qFormat/>
    <w:rPr>
      <w:b w:val="false"/>
      <w:i w:val="false"/>
      <w:strike w:val="false"/>
      <w:dstrike w:val="false"/>
      <w:color w:val="auto"/>
      <w:sz w:val="20"/>
      <w:szCs w:val="20"/>
      <w:u w:val="none"/>
    </w:rPr>
  </w:style>
  <w:style w:type="character" w:styleId="ListLabel302">
    <w:name w:val="ListLabel 302"/>
    <w:qFormat/>
    <w:rPr>
      <w:rFonts w:cs="Arial"/>
      <w:b w:val="false"/>
      <w:i w:val="false"/>
      <w:strike w:val="false"/>
      <w:dstrike w:val="false"/>
      <w:color w:val="auto"/>
      <w:sz w:val="20"/>
      <w:szCs w:val="20"/>
    </w:rPr>
  </w:style>
  <w:style w:type="character" w:styleId="ListLabel303">
    <w:name w:val="ListLabel 303"/>
    <w:qFormat/>
    <w:rPr>
      <w:b w:val="false"/>
      <w:i w:val="false"/>
    </w:rPr>
  </w:style>
  <w:style w:type="character" w:styleId="ListLabel304">
    <w:name w:val="ListLabel 304"/>
    <w:qFormat/>
    <w:rPr>
      <w:rFonts w:ascii="Arial" w:hAnsi="Arial"/>
      <w:b w:val="false"/>
      <w:sz w:val="20"/>
    </w:rPr>
  </w:style>
  <w:style w:type="character" w:styleId="ListLabel305">
    <w:name w:val="ListLabel 305"/>
    <w:qFormat/>
    <w:rPr>
      <w:rFonts w:ascii="Arial" w:hAnsi="Arial"/>
      <w:i w:val="false"/>
      <w:sz w:val="20"/>
    </w:rPr>
  </w:style>
  <w:style w:type="character" w:styleId="ListLabel306">
    <w:name w:val="ListLabel 306"/>
    <w:qFormat/>
    <w:rPr>
      <w:color w:val="auto"/>
      <w:sz w:val="20"/>
    </w:rPr>
  </w:style>
  <w:style w:type="character" w:styleId="ListLabel307">
    <w:name w:val="ListLabel 307"/>
    <w:qFormat/>
    <w:rPr>
      <w:b/>
    </w:rPr>
  </w:style>
  <w:style w:type="character" w:styleId="ListLabel308">
    <w:name w:val="ListLabel 308"/>
    <w:qFormat/>
    <w:rPr>
      <w:b w:val="false"/>
      <w:i w:val="false"/>
      <w:strike w:val="false"/>
      <w:dstrike w:val="false"/>
      <w:color w:val="auto"/>
      <w:sz w:val="20"/>
      <w:szCs w:val="20"/>
      <w:u w:val="none"/>
    </w:rPr>
  </w:style>
  <w:style w:type="character" w:styleId="ListLabel309">
    <w:name w:val="ListLabel 309"/>
    <w:qFormat/>
    <w:rPr>
      <w:rFonts w:cs="Arial"/>
      <w:b w:val="false"/>
      <w:i w:val="false"/>
      <w:strike w:val="false"/>
      <w:dstrike w:val="false"/>
      <w:color w:val="auto"/>
      <w:sz w:val="20"/>
      <w:szCs w:val="20"/>
    </w:rPr>
  </w:style>
  <w:style w:type="character" w:styleId="ListLabel310">
    <w:name w:val="ListLabel 310"/>
    <w:qFormat/>
    <w:rPr/>
  </w:style>
  <w:style w:type="character" w:styleId="ListLabel311">
    <w:name w:val="ListLabel 311"/>
    <w:qFormat/>
    <w:rPr>
      <w:b w:val="false"/>
      <w:bCs w:val="false"/>
      <w:i w:val="false"/>
      <w:iCs w:val="false"/>
    </w:rPr>
  </w:style>
  <w:style w:type="character" w:styleId="ListLabel312">
    <w:name w:val="ListLabel 312"/>
    <w:qFormat/>
    <w:rPr>
      <w:rFonts w:ascii="Arial" w:hAnsi="Arial" w:eastAsia="Arial" w:cs="Arial"/>
      <w:sz w:val="20"/>
      <w:szCs w:val="20"/>
    </w:rPr>
  </w:style>
  <w:style w:type="character" w:styleId="ListLabel313">
    <w:name w:val="ListLabel 313"/>
    <w:qFormat/>
    <w:rPr>
      <w:rFonts w:ascii="Arial" w:hAnsi="Arial" w:eastAsia="Arial" w:cs="Arial"/>
      <w:i/>
      <w:iCs/>
      <w:sz w:val="20"/>
      <w:szCs w:val="20"/>
    </w:rPr>
  </w:style>
  <w:style w:type="character" w:styleId="ListLabel314">
    <w:name w:val="ListLabel 314"/>
    <w:qFormat/>
    <w:rPr/>
  </w:style>
  <w:style w:type="character" w:styleId="ListLabel315">
    <w:name w:val="ListLabel 315"/>
    <w:qFormat/>
    <w:rPr>
      <w:rFonts w:ascii="Arial" w:hAnsi="Arial"/>
      <w:b/>
      <w:sz w:val="20"/>
    </w:rPr>
  </w:style>
  <w:style w:type="character" w:styleId="ListLabel316">
    <w:name w:val="ListLabel 316"/>
    <w:qFormat/>
    <w:rPr>
      <w:rFonts w:ascii="Arial" w:hAnsi="Arial"/>
      <w:b/>
      <w:i w:val="false"/>
      <w:strike w:val="false"/>
      <w:dstrike w:val="false"/>
      <w:color w:val="auto"/>
      <w:sz w:val="20"/>
      <w:szCs w:val="20"/>
      <w:u w:val="none"/>
    </w:rPr>
  </w:style>
  <w:style w:type="character" w:styleId="ListLabel317">
    <w:name w:val="ListLabel 317"/>
    <w:qFormat/>
    <w:rPr>
      <w:rFonts w:cs="Arial"/>
      <w:b/>
      <w:i w:val="false"/>
      <w:strike w:val="false"/>
      <w:dstrike w:val="false"/>
      <w:color w:val="auto"/>
      <w:sz w:val="20"/>
      <w:szCs w:val="20"/>
    </w:rPr>
  </w:style>
  <w:style w:type="character" w:styleId="ListLabel318">
    <w:name w:val="ListLabel 318"/>
    <w:qFormat/>
    <w:rPr>
      <w:b/>
    </w:rPr>
  </w:style>
  <w:style w:type="character" w:styleId="ListLabel319">
    <w:name w:val="ListLabel 319"/>
    <w:qFormat/>
    <w:rPr>
      <w:b w:val="false"/>
      <w:i w:val="false"/>
      <w:strike w:val="false"/>
      <w:dstrike w:val="false"/>
      <w:color w:val="auto"/>
      <w:sz w:val="20"/>
      <w:szCs w:val="20"/>
      <w:u w:val="none"/>
    </w:rPr>
  </w:style>
  <w:style w:type="character" w:styleId="ListLabel320">
    <w:name w:val="ListLabel 320"/>
    <w:qFormat/>
    <w:rPr>
      <w:rFonts w:cs="Arial"/>
      <w:b w:val="false"/>
      <w:i w:val="false"/>
      <w:strike w:val="false"/>
      <w:dstrike w:val="false"/>
      <w:color w:val="auto"/>
      <w:sz w:val="20"/>
      <w:szCs w:val="20"/>
    </w:rPr>
  </w:style>
  <w:style w:type="character" w:styleId="ListLabel321">
    <w:name w:val="ListLabel 321"/>
    <w:qFormat/>
    <w:rPr>
      <w:b w:val="false"/>
      <w:i w:val="false"/>
    </w:rPr>
  </w:style>
  <w:style w:type="character" w:styleId="ListLabel322">
    <w:name w:val="ListLabel 322"/>
    <w:qFormat/>
    <w:rPr>
      <w:rFonts w:ascii="Arial" w:hAnsi="Arial"/>
      <w:b w:val="false"/>
      <w:sz w:val="20"/>
    </w:rPr>
  </w:style>
  <w:style w:type="character" w:styleId="ListLabel323">
    <w:name w:val="ListLabel 323"/>
    <w:qFormat/>
    <w:rPr>
      <w:rFonts w:ascii="Arial" w:hAnsi="Arial"/>
      <w:i w:val="false"/>
      <w:sz w:val="20"/>
    </w:rPr>
  </w:style>
  <w:style w:type="character" w:styleId="ListLabel324">
    <w:name w:val="ListLabel 324"/>
    <w:qFormat/>
    <w:rPr>
      <w:color w:val="auto"/>
      <w:sz w:val="20"/>
    </w:rPr>
  </w:style>
  <w:style w:type="character" w:styleId="ListLabel325">
    <w:name w:val="ListLabel 325"/>
    <w:qFormat/>
    <w:rPr>
      <w:b/>
    </w:rPr>
  </w:style>
  <w:style w:type="character" w:styleId="ListLabel326">
    <w:name w:val="ListLabel 326"/>
    <w:qFormat/>
    <w:rPr>
      <w:b w:val="false"/>
      <w:i w:val="false"/>
      <w:strike w:val="false"/>
      <w:dstrike w:val="false"/>
      <w:color w:val="auto"/>
      <w:sz w:val="20"/>
      <w:szCs w:val="20"/>
      <w:u w:val="none"/>
    </w:rPr>
  </w:style>
  <w:style w:type="character" w:styleId="ListLabel327">
    <w:name w:val="ListLabel 327"/>
    <w:qFormat/>
    <w:rPr>
      <w:rFonts w:cs="Arial"/>
      <w:b w:val="false"/>
      <w:i w:val="false"/>
      <w:strike w:val="false"/>
      <w:dstrike w:val="false"/>
      <w:color w:val="auto"/>
      <w:sz w:val="20"/>
      <w:szCs w:val="20"/>
    </w:rPr>
  </w:style>
  <w:style w:type="character" w:styleId="ListLabel328">
    <w:name w:val="ListLabel 328"/>
    <w:qFormat/>
    <w:rPr/>
  </w:style>
  <w:style w:type="character" w:styleId="ListLabel329">
    <w:name w:val="ListLabel 329"/>
    <w:qFormat/>
    <w:rPr>
      <w:b w:val="false"/>
      <w:bCs w:val="false"/>
      <w:i w:val="false"/>
      <w:iCs w:val="false"/>
    </w:rPr>
  </w:style>
  <w:style w:type="character" w:styleId="ListLabel330">
    <w:name w:val="ListLabel 330"/>
    <w:qFormat/>
    <w:rPr>
      <w:color w:val="000000"/>
    </w:rPr>
  </w:style>
  <w:style w:type="character" w:styleId="ListLabel331">
    <w:name w:val="ListLabel 331"/>
    <w:qFormat/>
    <w:rPr>
      <w:rFonts w:ascii="Arial" w:hAnsi="Arial" w:eastAsia="Arial" w:cs="Arial"/>
      <w:sz w:val="20"/>
      <w:szCs w:val="20"/>
    </w:rPr>
  </w:style>
  <w:style w:type="character" w:styleId="ListLabel332">
    <w:name w:val="ListLabel 332"/>
    <w:qFormat/>
    <w:rPr>
      <w:rFonts w:ascii="Arial" w:hAnsi="Arial" w:eastAsia="Arial" w:cs="Arial"/>
      <w:i/>
      <w:iCs/>
      <w:sz w:val="20"/>
      <w:szCs w:val="20"/>
    </w:rPr>
  </w:style>
  <w:style w:type="character" w:styleId="ListLabel333">
    <w:name w:val="ListLabel 333"/>
    <w:qFormat/>
    <w:rPr/>
  </w:style>
  <w:style w:type="character" w:styleId="ListLabel334">
    <w:name w:val="ListLabel 334"/>
    <w:qFormat/>
    <w:rPr>
      <w:rFonts w:ascii="Arial" w:hAnsi="Arial"/>
      <w:b/>
      <w:sz w:val="20"/>
    </w:rPr>
  </w:style>
  <w:style w:type="character" w:styleId="ListLabel335">
    <w:name w:val="ListLabel 335"/>
    <w:qFormat/>
    <w:rPr>
      <w:rFonts w:ascii="Arial" w:hAnsi="Arial"/>
      <w:b/>
      <w:i w:val="false"/>
      <w:strike w:val="false"/>
      <w:dstrike w:val="false"/>
      <w:color w:val="auto"/>
      <w:sz w:val="20"/>
      <w:szCs w:val="20"/>
      <w:u w:val="none"/>
    </w:rPr>
  </w:style>
  <w:style w:type="character" w:styleId="ListLabel336">
    <w:name w:val="ListLabel 336"/>
    <w:qFormat/>
    <w:rPr>
      <w:rFonts w:cs="Arial"/>
      <w:b/>
      <w:i w:val="false"/>
      <w:strike w:val="false"/>
      <w:dstrike w:val="false"/>
      <w:color w:val="auto"/>
      <w:sz w:val="20"/>
      <w:szCs w:val="20"/>
    </w:rPr>
  </w:style>
  <w:style w:type="character" w:styleId="ListLabel337">
    <w:name w:val="ListLabel 337"/>
    <w:qFormat/>
    <w:rPr>
      <w:b/>
    </w:rPr>
  </w:style>
  <w:style w:type="character" w:styleId="ListLabel338">
    <w:name w:val="ListLabel 338"/>
    <w:qFormat/>
    <w:rPr>
      <w:b w:val="false"/>
      <w:i w:val="false"/>
      <w:strike w:val="false"/>
      <w:dstrike w:val="false"/>
      <w:color w:val="auto"/>
      <w:sz w:val="20"/>
      <w:szCs w:val="20"/>
      <w:u w:val="none"/>
    </w:rPr>
  </w:style>
  <w:style w:type="character" w:styleId="ListLabel339">
    <w:name w:val="ListLabel 339"/>
    <w:qFormat/>
    <w:rPr>
      <w:rFonts w:cs="Arial"/>
      <w:b w:val="false"/>
      <w:i w:val="false"/>
      <w:strike w:val="false"/>
      <w:dstrike w:val="false"/>
      <w:color w:val="auto"/>
      <w:sz w:val="20"/>
      <w:szCs w:val="20"/>
    </w:rPr>
  </w:style>
  <w:style w:type="character" w:styleId="ListLabel340">
    <w:name w:val="ListLabel 340"/>
    <w:qFormat/>
    <w:rPr>
      <w:b w:val="false"/>
      <w:i w:val="false"/>
    </w:rPr>
  </w:style>
  <w:style w:type="character" w:styleId="ListLabel341">
    <w:name w:val="ListLabel 341"/>
    <w:qFormat/>
    <w:rPr>
      <w:rFonts w:ascii="Arial" w:hAnsi="Arial"/>
      <w:b w:val="false"/>
      <w:sz w:val="20"/>
    </w:rPr>
  </w:style>
  <w:style w:type="character" w:styleId="ListLabel342">
    <w:name w:val="ListLabel 342"/>
    <w:qFormat/>
    <w:rPr>
      <w:rFonts w:ascii="Arial" w:hAnsi="Arial"/>
      <w:i w:val="false"/>
      <w:sz w:val="20"/>
    </w:rPr>
  </w:style>
  <w:style w:type="character" w:styleId="ListLabel343">
    <w:name w:val="ListLabel 343"/>
    <w:qFormat/>
    <w:rPr>
      <w:color w:val="auto"/>
      <w:sz w:val="20"/>
    </w:rPr>
  </w:style>
  <w:style w:type="character" w:styleId="ListLabel344">
    <w:name w:val="ListLabel 344"/>
    <w:qFormat/>
    <w:rPr>
      <w:b/>
    </w:rPr>
  </w:style>
  <w:style w:type="character" w:styleId="ListLabel345">
    <w:name w:val="ListLabel 345"/>
    <w:qFormat/>
    <w:rPr>
      <w:b w:val="false"/>
      <w:i w:val="false"/>
      <w:strike w:val="false"/>
      <w:dstrike w:val="false"/>
      <w:color w:val="auto"/>
      <w:sz w:val="20"/>
      <w:szCs w:val="20"/>
      <w:u w:val="none"/>
    </w:rPr>
  </w:style>
  <w:style w:type="character" w:styleId="ListLabel346">
    <w:name w:val="ListLabel 346"/>
    <w:qFormat/>
    <w:rPr>
      <w:rFonts w:cs="Arial"/>
      <w:b w:val="false"/>
      <w:i w:val="false"/>
      <w:strike w:val="false"/>
      <w:dstrike w:val="false"/>
      <w:color w:val="auto"/>
      <w:sz w:val="20"/>
      <w:szCs w:val="20"/>
    </w:rPr>
  </w:style>
  <w:style w:type="character" w:styleId="ListLabel347">
    <w:name w:val="ListLabel 347"/>
    <w:qFormat/>
    <w:rPr/>
  </w:style>
  <w:style w:type="character" w:styleId="ListLabel348">
    <w:name w:val="ListLabel 348"/>
    <w:qFormat/>
    <w:rPr>
      <w:b w:val="false"/>
      <w:bCs w:val="false"/>
      <w:i w:val="false"/>
      <w:iCs w:val="false"/>
    </w:rPr>
  </w:style>
  <w:style w:type="character" w:styleId="ListLabel349">
    <w:name w:val="ListLabel 349"/>
    <w:qFormat/>
    <w:rPr>
      <w:color w:val="000000"/>
    </w:rPr>
  </w:style>
  <w:style w:type="character" w:styleId="ListLabel350">
    <w:name w:val="ListLabel 350"/>
    <w:qFormat/>
    <w:rPr>
      <w:rFonts w:ascii="Arial" w:hAnsi="Arial" w:eastAsia="Arial" w:cs="Arial"/>
      <w:sz w:val="20"/>
      <w:szCs w:val="20"/>
    </w:rPr>
  </w:style>
  <w:style w:type="character" w:styleId="ListLabel351">
    <w:name w:val="ListLabel 351"/>
    <w:qFormat/>
    <w:rPr>
      <w:rFonts w:ascii="Arial" w:hAnsi="Arial" w:eastAsia="Arial" w:cs="Arial"/>
      <w:i/>
      <w:iCs/>
      <w:sz w:val="20"/>
      <w:szCs w:val="20"/>
    </w:rPr>
  </w:style>
  <w:style w:type="character" w:styleId="ListLabel352">
    <w:name w:val="ListLabel 352"/>
    <w:qFormat/>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spacing w:before="0" w:after="0"/>
      <w:contextualSpacing/>
    </w:pPr>
    <w:rPr/>
  </w:style>
  <w:style w:type="paragraph" w:styleId="Notaexplicativa" w:customStyle="1">
    <w:name w:val="Nota explicativa"/>
    <w:basedOn w:val="Quote"/>
    <w:link w:val="NotaexplicativaChar"/>
    <w:qFormat/>
    <w:rsid w:val="00265fb6"/>
    <w:pPr>
      <w:shd w:val="clear" w:fill="FFFFCC"/>
    </w:pPr>
    <w:rPr>
      <w:szCs w:val="20"/>
    </w:rPr>
  </w:style>
  <w:style w:type="paragraph" w:styleId="Cabealho">
    <w:name w:val="Header"/>
    <w:basedOn w:val="Normal"/>
    <w:link w:val="CabealhoChar"/>
    <w:uiPriority w:val="99"/>
    <w:rsid w:val="00ca24fb"/>
    <w:pPr>
      <w:tabs>
        <w:tab w:val="clear" w:pos="720"/>
        <w:tab w:val="center" w:pos="4252" w:leader="none"/>
        <w:tab w:val="right" w:pos="8504" w:leader="none"/>
      </w:tabs>
    </w:pPr>
    <w:rPr/>
  </w:style>
  <w:style w:type="paragraph" w:styleId="Rodap">
    <w:name w:val="Footer"/>
    <w:basedOn w:val="Normal"/>
    <w:link w:val="RodapChar"/>
    <w:uiPriority w:val="99"/>
    <w:rsid w:val="00ca24fb"/>
    <w:pPr>
      <w:tabs>
        <w:tab w:val="clear" w:pos="720"/>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uiPriority w:val="99"/>
    <w:semiHidden/>
    <w:unhideWhenUsed/>
    <w:qFormat/>
    <w:rsid w:val="00430fdb"/>
    <w:pPr/>
    <w:rPr>
      <w:b/>
      <w:bCs/>
    </w:rPr>
  </w:style>
  <w:style w:type="paragraph" w:styleId="Nivel01" w:customStyle="1">
    <w:name w:val="Nivel 01"/>
    <w:basedOn w:val="Ttulo1"/>
    <w:next w:val="Normal"/>
    <w:link w:val="Nivel01Char"/>
    <w:qFormat/>
    <w:rsid w:val="00a57cff"/>
    <w:pPr>
      <w:tabs>
        <w:tab w:val="clear" w:pos="720"/>
        <w:tab w:val="left" w:pos="567" w:leader="none"/>
      </w:tabs>
      <w:spacing w:before="240" w:after="0"/>
      <w:ind w:left="0" w:hanging="0"/>
      <w:jc w:val="both"/>
    </w:pPr>
    <w:rPr>
      <w:rFonts w:ascii="Arial" w:hAnsi="Arial" w:cs="Arial"/>
      <w:color w:val="auto"/>
      <w:sz w:val="20"/>
      <w:szCs w:val="20"/>
    </w:rPr>
  </w:style>
  <w:style w:type="paragraph" w:styleId="Nivel01Titulo" w:customStyle="1">
    <w:name w:val="Nivel_01_Titulo"/>
    <w:basedOn w:val="Nivel01"/>
    <w:link w:val="Nivel01TituloChar"/>
    <w:qFormat/>
    <w:rsid w:val="00e967ea"/>
    <w:pPr>
      <w:jc w:val="left"/>
    </w:pPr>
    <w:rPr>
      <w:rFonts w:cs=""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 w:cs=""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4"/>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a57cff"/>
    <w:pPr>
      <w:spacing w:lineRule="auto" w:line="276" w:before="120" w:after="120"/>
      <w:ind w:left="0" w:hanging="0"/>
      <w:jc w:val="both"/>
    </w:pPr>
    <w:rPr>
      <w:rFonts w:ascii="Arial" w:hAnsi="Arial" w:cs="Arial"/>
      <w:color w:val="000000"/>
      <w:sz w:val="20"/>
      <w:szCs w:val="20"/>
    </w:rPr>
  </w:style>
  <w:style w:type="paragraph" w:styleId="Nivel11" w:customStyle="1">
    <w:name w:val="Nivel 1"/>
    <w:basedOn w:val="Nivel2"/>
    <w:next w:val="Nivel2"/>
    <w:qFormat/>
    <w:rsid w:val="003629e4"/>
    <w:pPr>
      <w:ind w:left="360" w:hanging="360"/>
    </w:pPr>
    <w:rPr>
      <w:b/>
    </w:rPr>
  </w:style>
  <w:style w:type="paragraph" w:styleId="Nivel3" w:customStyle="1">
    <w:name w:val="Nivel 3"/>
    <w:basedOn w:val="Normal"/>
    <w:link w:val="Nivel3Char"/>
    <w:qFormat/>
    <w:rsid w:val="00a57cff"/>
    <w:pPr>
      <w:spacing w:lineRule="auto" w:line="276" w:before="120" w:after="120"/>
      <w:ind w:left="284" w:hanging="0"/>
      <w:jc w:val="both"/>
    </w:pPr>
    <w:rPr>
      <w:rFonts w:ascii="Arial" w:hAnsi="Arial" w:cs="Arial"/>
      <w:color w:val="000000"/>
      <w:sz w:val="20"/>
      <w:szCs w:val="20"/>
    </w:rPr>
  </w:style>
  <w:style w:type="paragraph" w:styleId="Nivel4" w:customStyle="1">
    <w:name w:val="Nivel 4"/>
    <w:basedOn w:val="Nivel3"/>
    <w:link w:val="Nivel4Char"/>
    <w:qFormat/>
    <w:rsid w:val="00a57cff"/>
    <w:pPr>
      <w:ind w:left="567" w:hanging="0"/>
    </w:pPr>
    <w:rPr>
      <w:color w:val="auto"/>
    </w:rPr>
  </w:style>
  <w:style w:type="paragraph" w:styleId="Nivel5" w:customStyle="1">
    <w:name w:val="Nivel 5"/>
    <w:basedOn w:val="Nivel4"/>
    <w:qFormat/>
    <w:rsid w:val="00a57cff"/>
    <w:pPr>
      <w:ind w:left="851"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bidi w:val="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bidi w:val="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ind w:left="432" w:hanging="432"/>
    </w:pPr>
    <w:rPr>
      <w:rFonts w:eastAsia="Times New Roman"/>
      <w:i/>
      <w:color w:val="FF0000"/>
    </w:rPr>
  </w:style>
  <w:style w:type="paragraph" w:styleId="Nvel3Opcional" w:customStyle="1">
    <w:name w:val="Nível 3 Opcional"/>
    <w:basedOn w:val="Nivel3"/>
    <w:link w:val="Nvel3OpcionalChar"/>
    <w:qFormat/>
    <w:rsid w:val="00a831d9"/>
    <w:pPr>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d14643"/>
    <w:pPr>
      <w:spacing w:lineRule="auto" w:line="259" w:before="60" w:after="60"/>
      <w:ind w:left="0" w:hanging="0"/>
      <w:contextualSpacing/>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f83142"/>
    <w:pPr/>
    <w:rPr>
      <w:i/>
      <w:iCs/>
      <w:color w:val="FF0000"/>
    </w:rPr>
  </w:style>
  <w:style w:type="paragraph" w:styleId="Nvel3R" w:customStyle="1">
    <w:name w:val="Nível 3-R"/>
    <w:basedOn w:val="Nivel3"/>
    <w:link w:val="Nvel3-RChar"/>
    <w:qFormat/>
    <w:rsid w:val="00d42afb"/>
    <w:pPr/>
    <w:rPr>
      <w:i/>
      <w:iCs/>
      <w:color w:val="FF0000"/>
    </w:rPr>
  </w:style>
  <w:style w:type="paragraph" w:styleId="Nvel4R" w:customStyle="1">
    <w:name w:val="Nível 4-R"/>
    <w:basedOn w:val="Nivel4"/>
    <w:link w:val="Nvel4-RChar"/>
    <w:qFormat/>
    <w:rsid w:val="00a57cff"/>
    <w:pPr>
      <w:ind w:left="284" w:hanging="0"/>
    </w:pPr>
    <w:rPr>
      <w:i/>
      <w:iCs/>
      <w:color w:val="FF0000"/>
    </w:rPr>
  </w:style>
  <w:style w:type="paragraph" w:styleId="Nvel1SemNum" w:customStyle="1">
    <w:name w:val="Nível 1-Sem Num"/>
    <w:basedOn w:val="Nivel01"/>
    <w:link w:val="Nvel1-SemNumChar"/>
    <w:qFormat/>
    <w:rsid w:val="00a57cff"/>
    <w:pPr>
      <w:outlineLvl w:val="1"/>
    </w:pPr>
    <w:rPr>
      <w:color w:val="FF0000"/>
    </w:rPr>
  </w:style>
  <w:style w:type="paragraph" w:styleId="Citao2" w:customStyle="1">
    <w:name w:val="citação 2"/>
    <w:basedOn w:val="Quote"/>
    <w:qFormat/>
    <w:rsid w:val="00dc41dd"/>
    <w:pPr>
      <w:shd w:val="clear" w:fill="FFFFCC"/>
      <w:overflowPunct w:val="fals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Contedodatabela">
    <w:name w:val="Conteúdo da tabela"/>
    <w:basedOn w:val="Normal"/>
    <w:qFormat/>
    <w:pPr>
      <w:suppressLineNumbers/>
    </w:pPr>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s://www.planalto.gov.br/ccivil_03/leis/l8078compilado.htm" TargetMode="External"/><Relationship Id="rId4" Type="http://schemas.openxmlformats.org/officeDocument/2006/relationships/hyperlink" Target="https://www.planalto.gov.br/ccivil_03/_ato2015-2018/2018/lei/l13709.htm" TargetMode="External"/><Relationship Id="rId5" Type="http://schemas.openxmlformats.org/officeDocument/2006/relationships/hyperlink" Target="https://www.planalto.gov.br/ccivil_03/_ato2015-2018/2018/lei/l13709.htm" TargetMode="External"/><Relationship Id="rId6" Type="http://schemas.openxmlformats.org/officeDocument/2006/relationships/hyperlink" Target="http://www.planalto.gov.br/ccivil_03/_ato2019-2022/2021/lei/L14133.htm" TargetMode="External"/><Relationship Id="rId7" Type="http://schemas.openxmlformats.org/officeDocument/2006/relationships/hyperlink" Target="http://www.planalto.gov.br/ccivil_03/_ato2019-2022/2021/lei/L14133.htm" TargetMode="External"/><Relationship Id="rId8" Type="http://schemas.openxmlformats.org/officeDocument/2006/relationships/hyperlink" Target="https://www.planalto.gov.br/ccivil_03/_ato2011-2014/2013/lei/l12846.htm" TargetMode="External"/><Relationship Id="rId9" Type="http://schemas.openxmlformats.org/officeDocument/2006/relationships/hyperlink" Target="https://www.gov.br/compras/pt-br/acesso-a-informacao/legislacao/instrucoes-normativas/instrucao-normativa-seges-me-no-26-de-13-de-abril-de-2022" TargetMode="External"/><Relationship Id="rId10"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8078compilado.htm"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comments" Target="comments.xml"/><Relationship Id="rId15" Type="http://schemas.openxmlformats.org/officeDocument/2006/relationships/numbering" Target="numbering.xml"/><Relationship Id="rId16" Type="http://schemas.openxmlformats.org/officeDocument/2006/relationships/fontTable" Target="fontTable.xml"/><Relationship Id="rId17" Type="http://schemas.openxmlformats.org/officeDocument/2006/relationships/settings" Target="settings.xml"/><Relationship Id="rId18" Type="http://schemas.openxmlformats.org/officeDocument/2006/relationships/theme" Target="theme/theme1.xml"/><Relationship Id="rId19" Type="http://schemas.openxmlformats.org/officeDocument/2006/relationships/customXml" Target="../customXml/item1.xml"/><Relationship Id="rId20" Type="http://schemas.openxmlformats.org/officeDocument/2006/relationships/customXml" Target="../customXml/item2.xml"/><Relationship Id="rId21" Type="http://schemas.openxmlformats.org/officeDocument/2006/relationships/customXml" Target="../customXml/item3.xml"/><Relationship Id="rId22"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E5A63C-2B71-46E4-8ED2-20FF3F5AFCD6}"/>
</file>

<file path=customXml/itemProps2.xml><?xml version="1.0" encoding="utf-8"?>
<ds:datastoreItem xmlns:ds="http://schemas.openxmlformats.org/officeDocument/2006/customXml" ds:itemID="{737852AB-DFA8-4D8C-ADEF-5E57833D6DD7}"/>
</file>

<file path=customXml/itemProps3.xml><?xml version="1.0" encoding="utf-8"?>
<ds:datastoreItem xmlns:ds="http://schemas.openxmlformats.org/officeDocument/2006/customXml" ds:itemID="{A9B562FC-36C8-47E0-85C2-3389E6095B82}">
  <ds:schemaRefs>
    <ds:schemaRef ds:uri="http://schemas.openxmlformats.org/officeDocument/2006/bibliography"/>
  </ds:schemaRefs>
</ds:datastoreItem>
</file>

<file path=customXml/itemProps4.xml><?xml version="1.0" encoding="utf-8"?>
<ds:datastoreItem xmlns:ds="http://schemas.openxmlformats.org/officeDocument/2006/customXml" ds:itemID="{89D10694-3472-42ED-8EE4-D5A1A30B83E2}"/>
</file>

<file path=docProps/app.xml><?xml version="1.0" encoding="utf-8"?>
<Properties xmlns="http://schemas.openxmlformats.org/officeDocument/2006/extended-properties" xmlns:vt="http://schemas.openxmlformats.org/officeDocument/2006/docPropsVTypes">
  <Template>Normal.dotm</Template>
  <TotalTime>58</TotalTime>
  <Application>LibreOffice/6.2.0.3$Windows_X86_64 LibreOffice_project/98c6a8a1c6c7b144ce3cc729e34964b47ce25d62</Application>
  <Pages>19</Pages>
  <Words>8369</Words>
  <Characters>46905</Characters>
  <CharactersWithSpaces>54734</CharactersWithSpaces>
  <Paragraphs>355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2023-05-20T12:24:00Z</dcterms:created>
  <dc:creator/>
  <dc:description/>
  <dc:language>pt-BR</dc:language>
  <cp:lastModifiedBy/>
  <cp:lastPrinted>2023-09-01T12:39:08Z</cp:lastPrinted>
  <dcterms:modified xsi:type="dcterms:W3CDTF">2024-04-10T11:24:46Z</dcterms:modified>
  <cp:revision>42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0x01010012A2765E7DFD38469B2E626874CD0041</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